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center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  <w:u w:val="single"/>
        </w:rPr>
        <w:t>TERMO DE REFERÊNCIA – LEI 14.133/21  de 01 de abril de 2021</w:t>
      </w:r>
    </w:p>
    <w:p>
      <w:pPr>
        <w:pStyle w:val="Normal"/>
        <w:spacing w:lineRule="auto" w:line="276"/>
        <w:jc w:val="center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/>
        <w:jc w:val="center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/>
          <w:bCs/>
          <w:iCs/>
          <w:color w:val="000000"/>
          <w:kern w:val="0"/>
          <w:sz w:val="20"/>
          <w:szCs w:val="20"/>
          <w:lang w:val="pt-BR" w:eastAsia="pt-BR" w:bidi="ar-SA"/>
        </w:rPr>
        <w:t xml:space="preserve">CONTRATAÇÃO DE EMPRESA </w:t>
      </w:r>
      <w:r>
        <w:rPr>
          <w:rFonts w:eastAsia="Times New Roman" w:cs="Arial" w:ascii="Verdana" w:hAnsi="Verdana"/>
          <w:b/>
          <w:bCs/>
          <w:iCs/>
          <w:color w:val="000000"/>
          <w:kern w:val="0"/>
          <w:sz w:val="20"/>
          <w:szCs w:val="20"/>
          <w:u w:val="none"/>
          <w:lang w:val="pt-BR" w:eastAsia="pt-BR" w:bidi="ar-SA"/>
        </w:rPr>
        <w:t>ESPECIALIZADA PARA SERVIÇOS DE AFERIÇÃO E MANUTENÇÃO DE TACÓGRAFOS</w:t>
      </w:r>
    </w:p>
    <w:p>
      <w:pPr>
        <w:pStyle w:val="Normal"/>
        <w:spacing w:lineRule="auto" w:line="276"/>
        <w:jc w:val="center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/>
        <w:jc w:val="center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iCs/>
          <w:color w:val="000000"/>
          <w:sz w:val="20"/>
          <w:szCs w:val="20"/>
        </w:rPr>
        <w:t xml:space="preserve">Processo Administrativo nº </w:t>
      </w:r>
      <w:r>
        <w:rPr>
          <w:rFonts w:eastAsia="Times New Roman" w:cs="Times New Roman" w:ascii="Verdana" w:hAnsi="Verdana"/>
          <w:b/>
          <w:bCs/>
          <w:iCs/>
          <w:color w:val="000000"/>
          <w:sz w:val="20"/>
          <w:szCs w:val="20"/>
        </w:rPr>
        <w:t>00</w:t>
      </w:r>
      <w:r>
        <w:rPr>
          <w:rFonts w:eastAsia="Times New Roman" w:cs="Times New Roman" w:ascii="Verdana" w:hAnsi="Verdana"/>
          <w:b/>
          <w:bCs/>
          <w:iCs/>
          <w:color w:val="000000"/>
          <w:kern w:val="0"/>
          <w:sz w:val="20"/>
          <w:szCs w:val="20"/>
          <w:lang w:val="pt-BR" w:eastAsia="pt-BR" w:bidi="ar-SA"/>
        </w:rPr>
        <w:t>0425</w:t>
      </w:r>
      <w:r>
        <w:rPr>
          <w:rFonts w:cs="Arial" w:ascii="Verdana" w:hAnsi="Verdana"/>
          <w:b/>
          <w:bCs/>
          <w:iCs/>
          <w:color w:val="000000"/>
          <w:sz w:val="20"/>
          <w:szCs w:val="20"/>
        </w:rPr>
        <w:t xml:space="preserve">/2024 de 19 de </w:t>
      </w:r>
      <w:r>
        <w:rPr>
          <w:rFonts w:eastAsia="Times New Roman" w:cs="Arial" w:ascii="Verdana" w:hAnsi="Verdana"/>
          <w:b/>
          <w:bCs/>
          <w:iCs/>
          <w:color w:val="000000"/>
          <w:sz w:val="20"/>
          <w:szCs w:val="20"/>
        </w:rPr>
        <w:t>janeiro</w:t>
      </w:r>
      <w:r>
        <w:rPr>
          <w:rFonts w:cs="Arial" w:ascii="Verdana" w:hAnsi="Verdana"/>
          <w:b/>
          <w:bCs/>
          <w:iCs/>
          <w:color w:val="000000"/>
          <w:sz w:val="20"/>
          <w:szCs w:val="20"/>
        </w:rPr>
        <w:t xml:space="preserve"> de 2024 (</w:t>
      </w:r>
      <w:r>
        <w:rPr>
          <w:rFonts w:eastAsia="Times New Roman" w:cs="Arial" w:ascii="Verdana" w:hAnsi="Verdana"/>
          <w:b/>
          <w:bCs/>
          <w:iCs/>
          <w:color w:val="000000"/>
          <w:kern w:val="0"/>
          <w:sz w:val="20"/>
          <w:szCs w:val="20"/>
          <w:lang w:val="pt-BR" w:eastAsia="pt-BR" w:bidi="ar-SA"/>
        </w:rPr>
        <w:t>Secretaria Municipal de Educação</w:t>
      </w:r>
      <w:r>
        <w:rPr>
          <w:rFonts w:cs="Arial" w:ascii="Verdana" w:hAnsi="Verdana"/>
          <w:b/>
          <w:bCs/>
          <w:iCs/>
          <w:color w:val="000000"/>
          <w:sz w:val="20"/>
          <w:szCs w:val="20"/>
        </w:rPr>
        <w:t>)</w:t>
      </w:r>
    </w:p>
    <w:p>
      <w:pPr>
        <w:pStyle w:val="Normal"/>
        <w:spacing w:lineRule="auto" w:line="360" w:before="57" w:after="57"/>
        <w:jc w:val="center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numPr>
          <w:ilvl w:val="0"/>
          <w:numId w:val="0"/>
        </w:numPr>
        <w:spacing w:lineRule="auto" w:line="276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1. DAS CONDIÇÕES GERAIS DA CONTRATAÇÃO </w:t>
      </w:r>
    </w:p>
    <w:p>
      <w:pPr>
        <w:pStyle w:val="Normal"/>
        <w:tabs>
          <w:tab w:val="clear" w:pos="708"/>
          <w:tab w:val="left" w:pos="567" w:leader="none"/>
        </w:tabs>
        <w:spacing w:lineRule="auto" w:line="360" w:before="57" w:after="57"/>
        <w:ind w:hanging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1.1. </w:t>
      </w:r>
      <w:r>
        <w:rPr>
          <w:rFonts w:ascii="Verdana" w:hAnsi="Verdana"/>
          <w:sz w:val="20"/>
          <w:szCs w:val="20"/>
        </w:rPr>
        <w:t xml:space="preserve">Contratação de empresa especializada </w:t>
      </w:r>
      <w:r>
        <w:rPr>
          <w:rFonts w:eastAsia="Times New Roman" w:cs="Times New Roman" w:ascii="Verdana" w:hAnsi="Verdana"/>
          <w:color w:val="auto"/>
          <w:kern w:val="0"/>
          <w:sz w:val="20"/>
          <w:szCs w:val="20"/>
          <w:lang w:val="pt-BR" w:eastAsia="pt-BR" w:bidi="ar-SA"/>
        </w:rPr>
        <w:t xml:space="preserve">em prestação de serviços de aferição e manutenção de tacógrafos, com fornecimento de peças (se necessário) para a manutenção de tacógrafos dos veículos da frota da Secretaria Municipal de Educação, para a obtenção do Certificado de Verificação, válido por 02 (dois) anos, </w:t>
      </w:r>
      <w:r>
        <w:rPr>
          <w:rFonts w:ascii="Verdana" w:hAnsi="Verdana"/>
          <w:sz w:val="20"/>
          <w:szCs w:val="20"/>
        </w:rPr>
        <w:t>conforme condições e exigências estabelecidas neste instrumento e no ETP elaborado pela requente.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tbl>
      <w:tblPr>
        <w:tblW w:w="9355" w:type="dxa"/>
        <w:jc w:val="left"/>
        <w:tblInd w:w="1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  <w:gridCol w:w="3347"/>
        <w:gridCol w:w="853"/>
        <w:gridCol w:w="1073"/>
        <w:gridCol w:w="1473"/>
        <w:gridCol w:w="1755"/>
      </w:tblGrid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/>
                <w:bCs/>
                <w:color w:val="auto"/>
                <w:kern w:val="0"/>
                <w:sz w:val="20"/>
                <w:szCs w:val="20"/>
                <w:lang w:val="pt-BR" w:eastAsia="pt-BR" w:bidi="ar-SA"/>
              </w:rPr>
              <w:t>LOTE</w:t>
            </w:r>
          </w:p>
        </w:tc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/>
                <w:bCs/>
                <w:color w:val="auto"/>
                <w:kern w:val="0"/>
                <w:sz w:val="20"/>
                <w:szCs w:val="20"/>
                <w:lang w:val="pt-BR" w:eastAsia="pt-BR" w:bidi="ar-SA"/>
              </w:rPr>
              <w:t>QUANT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VALOR ESTIMADO UNITÁRIO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VALOR  ESTIMADO TOTAL</w:t>
            </w:r>
          </w:p>
        </w:tc>
      </w:tr>
      <w:tr>
        <w:trPr/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01</w:t>
            </w:r>
          </w:p>
        </w:tc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Prestação de serviços de aferição de tacógrafo vdo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Serv.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60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R$ 135,00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R$  8.100,00</w:t>
            </w:r>
          </w:p>
        </w:tc>
      </w:tr>
      <w:tr>
        <w:trPr/>
        <w:tc>
          <w:tcPr>
            <w:tcW w:w="8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center"/>
              <w:rPr>
                <w:rFonts w:ascii="Verdana" w:hAnsi="Verdana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</w:r>
          </w:p>
        </w:tc>
        <w:tc>
          <w:tcPr>
            <w:tcW w:w="33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Prestação de serviços de aferição de tacógrafo seva</w:t>
            </w: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Serv.</w:t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30</w:t>
            </w:r>
          </w:p>
        </w:tc>
        <w:tc>
          <w:tcPr>
            <w:tcW w:w="1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R$  318,00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R$   9.540,00</w:t>
            </w:r>
          </w:p>
        </w:tc>
      </w:tr>
      <w:tr>
        <w:trPr/>
        <w:tc>
          <w:tcPr>
            <w:tcW w:w="8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center"/>
              <w:rPr>
                <w:rFonts w:ascii="Verdana" w:hAnsi="Verdana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</w:r>
          </w:p>
        </w:tc>
        <w:tc>
          <w:tcPr>
            <w:tcW w:w="33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Prestação de serviços de manutenção de tacógrafo vdo</w:t>
            </w: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Serv.</w:t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60</w:t>
            </w:r>
          </w:p>
        </w:tc>
        <w:tc>
          <w:tcPr>
            <w:tcW w:w="1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R$  120,00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R$  7.200,00</w:t>
            </w:r>
          </w:p>
        </w:tc>
      </w:tr>
      <w:tr>
        <w:trPr/>
        <w:tc>
          <w:tcPr>
            <w:tcW w:w="8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center"/>
              <w:rPr>
                <w:rFonts w:ascii="Verdana" w:hAnsi="Verdana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</w:r>
          </w:p>
        </w:tc>
        <w:tc>
          <w:tcPr>
            <w:tcW w:w="33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Prestação de serviços de manutenção de tacógrafo seva</w:t>
            </w: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Serv.</w:t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30</w:t>
            </w:r>
          </w:p>
        </w:tc>
        <w:tc>
          <w:tcPr>
            <w:tcW w:w="1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R$  120,00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R$  3.600,00</w:t>
            </w:r>
          </w:p>
        </w:tc>
      </w:tr>
      <w:tr>
        <w:trPr/>
        <w:tc>
          <w:tcPr>
            <w:tcW w:w="85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02</w:t>
            </w:r>
          </w:p>
        </w:tc>
        <w:tc>
          <w:tcPr>
            <w:tcW w:w="33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Magnético</w:t>
            </w: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Pç.</w:t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5</w:t>
            </w:r>
          </w:p>
        </w:tc>
        <w:tc>
          <w:tcPr>
            <w:tcW w:w="1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R$ 230,00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R$ 1.150,00</w:t>
            </w:r>
          </w:p>
        </w:tc>
      </w:tr>
      <w:tr>
        <w:trPr/>
        <w:tc>
          <w:tcPr>
            <w:tcW w:w="85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both"/>
              <w:rPr>
                <w:rFonts w:ascii="Verdana" w:hAnsi="Verdana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</w:r>
          </w:p>
        </w:tc>
        <w:tc>
          <w:tcPr>
            <w:tcW w:w="33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Agulha de velocidade</w:t>
            </w: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Und.</w:t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5</w:t>
            </w:r>
          </w:p>
        </w:tc>
        <w:tc>
          <w:tcPr>
            <w:tcW w:w="1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R$ 114,00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R$ 570,00</w:t>
            </w:r>
          </w:p>
        </w:tc>
      </w:tr>
      <w:tr>
        <w:trPr/>
        <w:tc>
          <w:tcPr>
            <w:tcW w:w="85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both"/>
              <w:rPr>
                <w:rFonts w:ascii="Verdana" w:hAnsi="Verdana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</w:r>
          </w:p>
        </w:tc>
        <w:tc>
          <w:tcPr>
            <w:tcW w:w="33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Agulha de distância e tempo</w:t>
            </w: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Und.</w:t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5</w:t>
            </w:r>
          </w:p>
        </w:tc>
        <w:tc>
          <w:tcPr>
            <w:tcW w:w="1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R$ 105,71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R$ 528,55</w:t>
            </w:r>
          </w:p>
        </w:tc>
      </w:tr>
      <w:tr>
        <w:trPr/>
        <w:tc>
          <w:tcPr>
            <w:tcW w:w="85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both"/>
              <w:rPr>
                <w:rFonts w:ascii="Verdana" w:hAnsi="Verdana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</w:r>
          </w:p>
        </w:tc>
        <w:tc>
          <w:tcPr>
            <w:tcW w:w="33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Eixo de transição</w:t>
            </w: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Und.</w:t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5</w:t>
            </w:r>
          </w:p>
        </w:tc>
        <w:tc>
          <w:tcPr>
            <w:tcW w:w="1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R$ 25,19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R$ 125,95</w:t>
            </w:r>
          </w:p>
        </w:tc>
      </w:tr>
      <w:tr>
        <w:trPr/>
        <w:tc>
          <w:tcPr>
            <w:tcW w:w="85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both"/>
              <w:rPr>
                <w:rFonts w:ascii="Verdana" w:hAnsi="Verdana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</w:r>
          </w:p>
        </w:tc>
        <w:tc>
          <w:tcPr>
            <w:tcW w:w="33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Platina</w:t>
            </w: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Und.</w:t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5</w:t>
            </w:r>
          </w:p>
        </w:tc>
        <w:tc>
          <w:tcPr>
            <w:tcW w:w="1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R$ 212,97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R$ 1.064,85</w:t>
            </w:r>
          </w:p>
        </w:tc>
      </w:tr>
      <w:tr>
        <w:trPr/>
        <w:tc>
          <w:tcPr>
            <w:tcW w:w="85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both"/>
              <w:rPr>
                <w:rFonts w:ascii="Verdana" w:hAnsi="Verdana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</w:r>
          </w:p>
        </w:tc>
        <w:tc>
          <w:tcPr>
            <w:tcW w:w="33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Agulha de tempo</w:t>
            </w: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Und.</w:t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5</w:t>
            </w:r>
          </w:p>
        </w:tc>
        <w:tc>
          <w:tcPr>
            <w:tcW w:w="1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R$ 118,00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R$ 590,00</w:t>
            </w:r>
          </w:p>
        </w:tc>
      </w:tr>
      <w:tr>
        <w:trPr/>
        <w:tc>
          <w:tcPr>
            <w:tcW w:w="85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both"/>
              <w:rPr>
                <w:rFonts w:ascii="Verdana" w:hAnsi="Verdana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</w:r>
          </w:p>
        </w:tc>
        <w:tc>
          <w:tcPr>
            <w:tcW w:w="33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Agulha de distância</w:t>
            </w: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Und.</w:t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5</w:t>
            </w:r>
          </w:p>
        </w:tc>
        <w:tc>
          <w:tcPr>
            <w:tcW w:w="1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R$ 101,73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R$ 508,65</w:t>
            </w:r>
          </w:p>
        </w:tc>
      </w:tr>
      <w:tr>
        <w:trPr/>
        <w:tc>
          <w:tcPr>
            <w:tcW w:w="85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both"/>
              <w:rPr>
                <w:rFonts w:ascii="Verdana" w:hAnsi="Verdana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</w:r>
          </w:p>
        </w:tc>
        <w:tc>
          <w:tcPr>
            <w:tcW w:w="33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Imã de relógio</w:t>
            </w: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Und.</w:t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5</w:t>
            </w:r>
          </w:p>
        </w:tc>
        <w:tc>
          <w:tcPr>
            <w:tcW w:w="1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R$ 45,00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R$ 225,00</w:t>
            </w:r>
          </w:p>
        </w:tc>
      </w:tr>
      <w:tr>
        <w:trPr/>
        <w:tc>
          <w:tcPr>
            <w:tcW w:w="85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both"/>
              <w:rPr>
                <w:rFonts w:ascii="Verdana" w:hAnsi="Verdana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</w:r>
          </w:p>
        </w:tc>
        <w:tc>
          <w:tcPr>
            <w:tcW w:w="33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Tampa conexão</w:t>
            </w: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Pç.</w:t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5</w:t>
            </w:r>
          </w:p>
        </w:tc>
        <w:tc>
          <w:tcPr>
            <w:tcW w:w="1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R$ 25,00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R$ 125,00</w:t>
            </w:r>
          </w:p>
        </w:tc>
      </w:tr>
      <w:tr>
        <w:trPr/>
        <w:tc>
          <w:tcPr>
            <w:tcW w:w="85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both"/>
              <w:rPr>
                <w:rFonts w:ascii="Verdana" w:hAnsi="Verdana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</w:r>
          </w:p>
        </w:tc>
        <w:tc>
          <w:tcPr>
            <w:tcW w:w="33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Sensor de velocidade</w:t>
            </w: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Pç.</w:t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5</w:t>
            </w:r>
          </w:p>
        </w:tc>
        <w:tc>
          <w:tcPr>
            <w:tcW w:w="1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R$ 490,00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R$ 2.450,00</w:t>
            </w:r>
          </w:p>
        </w:tc>
      </w:tr>
      <w:tr>
        <w:trPr/>
        <w:tc>
          <w:tcPr>
            <w:tcW w:w="85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both"/>
              <w:rPr>
                <w:rFonts w:ascii="Verdana" w:hAnsi="Verdana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</w:r>
          </w:p>
        </w:tc>
        <w:tc>
          <w:tcPr>
            <w:tcW w:w="33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Garfo (peça tacógrafo)</w:t>
            </w: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Und.</w:t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5</w:t>
            </w:r>
          </w:p>
        </w:tc>
        <w:tc>
          <w:tcPr>
            <w:tcW w:w="1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R$ 15,00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R$ 75,00</w:t>
            </w:r>
          </w:p>
        </w:tc>
      </w:tr>
      <w:tr>
        <w:trPr/>
        <w:tc>
          <w:tcPr>
            <w:tcW w:w="85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both"/>
              <w:rPr>
                <w:rFonts w:ascii="Verdana" w:hAnsi="Verdana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</w:r>
          </w:p>
        </w:tc>
        <w:tc>
          <w:tcPr>
            <w:tcW w:w="33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Lacre reparo</w:t>
            </w: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Und.</w:t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90</w:t>
            </w:r>
          </w:p>
        </w:tc>
        <w:tc>
          <w:tcPr>
            <w:tcW w:w="1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R$ 17,50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R$ 1.575,00</w:t>
            </w:r>
          </w:p>
        </w:tc>
      </w:tr>
      <w:tr>
        <w:trPr/>
        <w:tc>
          <w:tcPr>
            <w:tcW w:w="85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both"/>
              <w:rPr>
                <w:rFonts w:ascii="Verdana" w:hAnsi="Verdana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</w:r>
          </w:p>
        </w:tc>
        <w:tc>
          <w:tcPr>
            <w:tcW w:w="33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Kit conversão gaveta</w:t>
            </w: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Und.</w:t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5</w:t>
            </w:r>
          </w:p>
        </w:tc>
        <w:tc>
          <w:tcPr>
            <w:tcW w:w="1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R$ 125,00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R$ 625,00</w:t>
            </w:r>
          </w:p>
        </w:tc>
      </w:tr>
      <w:tr>
        <w:trPr/>
        <w:tc>
          <w:tcPr>
            <w:tcW w:w="85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both"/>
              <w:rPr>
                <w:rFonts w:ascii="Verdana" w:hAnsi="Verdana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</w:r>
          </w:p>
        </w:tc>
        <w:tc>
          <w:tcPr>
            <w:tcW w:w="33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Bobina</w:t>
            </w: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Und.</w:t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150</w:t>
            </w:r>
          </w:p>
        </w:tc>
        <w:tc>
          <w:tcPr>
            <w:tcW w:w="1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R$ 25,00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R$ 3.750,00</w:t>
            </w:r>
          </w:p>
        </w:tc>
      </w:tr>
      <w:tr>
        <w:trPr/>
        <w:tc>
          <w:tcPr>
            <w:tcW w:w="85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both"/>
              <w:rPr>
                <w:rFonts w:ascii="Verdana" w:hAnsi="Verdana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</w:r>
          </w:p>
        </w:tc>
        <w:tc>
          <w:tcPr>
            <w:tcW w:w="33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Guarda pó</w:t>
            </w: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Pç.</w:t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5</w:t>
            </w:r>
          </w:p>
        </w:tc>
        <w:tc>
          <w:tcPr>
            <w:tcW w:w="1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R$ 27,66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R$ 138,30</w:t>
            </w:r>
          </w:p>
        </w:tc>
      </w:tr>
      <w:tr>
        <w:trPr/>
        <w:tc>
          <w:tcPr>
            <w:tcW w:w="85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both"/>
              <w:rPr>
                <w:rFonts w:ascii="Verdana" w:hAnsi="Verdana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</w:r>
          </w:p>
        </w:tc>
        <w:tc>
          <w:tcPr>
            <w:tcW w:w="33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Porca (peça tacógrafo)</w:t>
            </w: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Nc.</w:t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5</w:t>
            </w:r>
          </w:p>
        </w:tc>
        <w:tc>
          <w:tcPr>
            <w:tcW w:w="1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R$ 1,00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R$ 5,00</w:t>
            </w:r>
          </w:p>
        </w:tc>
      </w:tr>
      <w:tr>
        <w:trPr/>
        <w:tc>
          <w:tcPr>
            <w:tcW w:w="85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both"/>
              <w:rPr>
                <w:rFonts w:ascii="Verdana" w:hAnsi="Verdana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</w:r>
          </w:p>
        </w:tc>
        <w:tc>
          <w:tcPr>
            <w:tcW w:w="33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Conjunto transmissão</w:t>
            </w: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N.c</w:t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5</w:t>
            </w:r>
          </w:p>
        </w:tc>
        <w:tc>
          <w:tcPr>
            <w:tcW w:w="1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R$ 123,35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R$ 616,75</w:t>
            </w:r>
          </w:p>
        </w:tc>
      </w:tr>
      <w:tr>
        <w:trPr/>
        <w:tc>
          <w:tcPr>
            <w:tcW w:w="85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both"/>
              <w:rPr>
                <w:rFonts w:ascii="Verdana" w:hAnsi="Verdana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</w:r>
          </w:p>
        </w:tc>
        <w:tc>
          <w:tcPr>
            <w:tcW w:w="33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Conjunto contato alarme</w:t>
            </w: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N.c</w:t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5</w:t>
            </w:r>
          </w:p>
        </w:tc>
        <w:tc>
          <w:tcPr>
            <w:tcW w:w="1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R$ 58,00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R$ 290,00</w:t>
            </w:r>
          </w:p>
        </w:tc>
      </w:tr>
      <w:tr>
        <w:trPr/>
        <w:tc>
          <w:tcPr>
            <w:tcW w:w="85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both"/>
              <w:rPr>
                <w:rFonts w:ascii="Verdana" w:hAnsi="Verdana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</w:r>
          </w:p>
        </w:tc>
        <w:tc>
          <w:tcPr>
            <w:tcW w:w="33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Display tacógrafo digital</w:t>
            </w: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Und.</w:t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5</w:t>
            </w:r>
          </w:p>
        </w:tc>
        <w:tc>
          <w:tcPr>
            <w:tcW w:w="1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R$ 589,08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R$ 2.945,40</w:t>
            </w:r>
          </w:p>
        </w:tc>
      </w:tr>
      <w:tr>
        <w:trPr/>
        <w:tc>
          <w:tcPr>
            <w:tcW w:w="85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both"/>
              <w:rPr>
                <w:rFonts w:ascii="Verdana" w:hAnsi="Verdana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</w:r>
          </w:p>
        </w:tc>
        <w:tc>
          <w:tcPr>
            <w:tcW w:w="33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Impressora para tacógrafo</w:t>
            </w: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Und.</w:t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5</w:t>
            </w:r>
          </w:p>
        </w:tc>
        <w:tc>
          <w:tcPr>
            <w:tcW w:w="1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R$ 850,00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R$ 4.250,00</w:t>
            </w:r>
          </w:p>
        </w:tc>
      </w:tr>
      <w:tr>
        <w:trPr/>
        <w:tc>
          <w:tcPr>
            <w:tcW w:w="85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both"/>
              <w:rPr>
                <w:rFonts w:ascii="Verdana" w:hAnsi="Verdana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</w:r>
          </w:p>
        </w:tc>
        <w:tc>
          <w:tcPr>
            <w:tcW w:w="33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Tacógrafo eletrônico 1390 – diário 24v completo e novo</w:t>
            </w: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Pç.</w:t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5</w:t>
            </w:r>
          </w:p>
        </w:tc>
        <w:tc>
          <w:tcPr>
            <w:tcW w:w="1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R$ 2.200,00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R$ 11.000,00</w:t>
            </w:r>
          </w:p>
        </w:tc>
      </w:tr>
      <w:tr>
        <w:trPr/>
        <w:tc>
          <w:tcPr>
            <w:tcW w:w="85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both"/>
              <w:rPr>
                <w:rFonts w:ascii="Verdana" w:hAnsi="Verdana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</w:r>
          </w:p>
        </w:tc>
        <w:tc>
          <w:tcPr>
            <w:tcW w:w="33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Odômetro 1318</w:t>
            </w: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Und.</w:t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5</w:t>
            </w:r>
          </w:p>
        </w:tc>
        <w:tc>
          <w:tcPr>
            <w:tcW w:w="1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R$ 136,40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R$ 682,00</w:t>
            </w:r>
          </w:p>
        </w:tc>
      </w:tr>
      <w:tr>
        <w:trPr/>
        <w:tc>
          <w:tcPr>
            <w:tcW w:w="85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both"/>
              <w:rPr>
                <w:rFonts w:ascii="Verdana" w:hAnsi="Verdana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</w:r>
          </w:p>
        </w:tc>
        <w:tc>
          <w:tcPr>
            <w:tcW w:w="33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Relógio 1318</w:t>
            </w: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Und.</w:t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5</w:t>
            </w:r>
          </w:p>
        </w:tc>
        <w:tc>
          <w:tcPr>
            <w:tcW w:w="1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R$ 338,95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R$ 1.694,75</w:t>
            </w:r>
          </w:p>
        </w:tc>
      </w:tr>
      <w:tr>
        <w:trPr/>
        <w:tc>
          <w:tcPr>
            <w:tcW w:w="9354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VALOR GLOBAL ESTIMADO: R$ 63.425,20 (sessenta e três mil quatrocentos e vinte e cinco reais e vinte centavos)</w:t>
            </w:r>
          </w:p>
        </w:tc>
      </w:tr>
    </w:tbl>
    <w:p>
      <w:pPr>
        <w:pStyle w:val="Normal"/>
        <w:widowControl w:val="false"/>
        <w:spacing w:lineRule="auto" w:line="27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67" w:leader="none"/>
        </w:tabs>
        <w:spacing w:lineRule="auto" w:line="36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1.2. O prazo de vigência da contratação será de 60 (sessenta) meses contados do(a) </w:t>
      </w:r>
      <w:r>
        <w:rPr>
          <w:rFonts w:cs="Arial" w:ascii="Verdana" w:hAnsi="Verdana"/>
          <w:bCs/>
          <w:iCs/>
          <w:color w:val="000000"/>
          <w:sz w:val="20"/>
          <w:szCs w:val="20"/>
        </w:rPr>
        <w:t xml:space="preserve">a partir da assinatura </w:t>
      </w:r>
      <w:r>
        <w:rPr>
          <w:rFonts w:eastAsia="Times New Roman" w:cs="Arial" w:ascii="Verdana" w:hAnsi="Verdana"/>
          <w:bCs/>
          <w:iCs/>
          <w:color w:val="000000"/>
          <w:kern w:val="0"/>
          <w:sz w:val="20"/>
          <w:szCs w:val="20"/>
          <w:lang w:val="pt-BR" w:eastAsia="pt-BR" w:bidi="ar-SA"/>
        </w:rPr>
        <w:t>do Contrato</w:t>
      </w:r>
      <w:r>
        <w:rPr>
          <w:rFonts w:cs="Arial" w:ascii="Verdana" w:hAnsi="Verdana"/>
          <w:bCs/>
          <w:iCs/>
          <w:color w:val="000000"/>
          <w:sz w:val="20"/>
          <w:szCs w:val="20"/>
        </w:rPr>
        <w:t>.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0" w:leader="none"/>
        </w:tabs>
        <w:suppressAutoHyphens w:val="false"/>
        <w:spacing w:lineRule="auto" w:line="36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1.3.</w:t>
      </w:r>
      <w:r>
        <w:rPr>
          <w:rFonts w:eastAsia="Times New Roman" w:cs="Times New Roman" w:ascii="Verdana" w:hAnsi="Verdana"/>
          <w:b/>
          <w:bCs/>
          <w:iCs/>
          <w:color w:val="000000"/>
          <w:sz w:val="20"/>
          <w:szCs w:val="20"/>
        </w:rPr>
        <w:t xml:space="preserve"> </w:t>
      </w:r>
      <w:r>
        <w:rPr>
          <w:rFonts w:eastAsia="Times New Roman" w:cs="Times New Roman" w:ascii="Verdana" w:hAnsi="Verdana"/>
          <w:iCs/>
          <w:color w:val="000000"/>
          <w:sz w:val="20"/>
          <w:szCs w:val="20"/>
        </w:rPr>
        <w:t>O custo estimado total da contratação é de</w:t>
      </w:r>
      <w:r>
        <w:rPr>
          <w:rFonts w:eastAsia="Times New Roman" w:cs="Times New Roman" w:ascii="Verdana" w:hAnsi="Verdana"/>
          <w:i/>
          <w:iCs/>
          <w:color w:val="FF0000"/>
          <w:sz w:val="20"/>
          <w:szCs w:val="20"/>
        </w:rPr>
        <w:t xml:space="preserve"> </w:t>
      </w:r>
      <w:r>
        <w:rPr>
          <w:rFonts w:eastAsia="Times New Roman" w:cs="Times New Roman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>R$ 63.425,20 (sessenta e três mil quatrocentos e vinte e cinco reais e vinte centavos),</w:t>
      </w:r>
      <w:r>
        <w:rPr>
          <w:rFonts w:eastAsia="Times New Roman" w:cs="Times New Roman" w:ascii="Verdana" w:hAnsi="Verdana"/>
          <w:i/>
          <w:iCs/>
          <w:color w:val="000000"/>
          <w:sz w:val="20"/>
          <w:szCs w:val="20"/>
          <w:shd w:fill="auto" w:val="clear"/>
        </w:rPr>
        <w:t xml:space="preserve"> </w:t>
      </w:r>
      <w:r>
        <w:rPr>
          <w:rFonts w:eastAsia="Times New Roman" w:cs="Times New Roman" w:ascii="Verdana" w:hAnsi="Verdana"/>
          <w:iCs/>
          <w:color w:val="000000"/>
          <w:sz w:val="20"/>
          <w:szCs w:val="20"/>
          <w:shd w:fill="auto" w:val="clear"/>
        </w:rPr>
        <w:t>conforme custos unitários</w:t>
      </w:r>
      <w:r>
        <w:rPr>
          <w:rFonts w:eastAsia="Times New Roman" w:cs="Times New Roman" w:ascii="Verdana" w:hAnsi="Verdana"/>
          <w:bCs/>
          <w:iCs/>
          <w:color w:val="000000"/>
          <w:sz w:val="20"/>
          <w:szCs w:val="20"/>
          <w:shd w:fill="auto" w:val="clear"/>
        </w:rPr>
        <w:t xml:space="preserve"> apostos nos orç</w:t>
      </w:r>
      <w:r>
        <w:rPr>
          <w:rFonts w:eastAsia="Times New Roman" w:cs="Times New Roman" w:ascii="Verdana" w:hAnsi="Verdana"/>
          <w:bCs/>
          <w:iCs/>
          <w:color w:val="000000"/>
          <w:sz w:val="20"/>
          <w:szCs w:val="20"/>
        </w:rPr>
        <w:t>amentos e no quadro comparativo de preços simples em anexo.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67" w:leader="none"/>
        </w:tabs>
        <w:spacing w:lineRule="auto" w:line="240" w:before="114" w:after="114"/>
        <w:ind w:hanging="0" w:left="43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numPr>
          <w:ilvl w:val="0"/>
          <w:numId w:val="0"/>
        </w:numPr>
        <w:spacing w:lineRule="auto" w:line="36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DESCRIÇÃO DA NECESSIDADE DA CONTRATAÇÃO </w:t>
      </w:r>
    </w:p>
    <w:p>
      <w:pPr>
        <w:pStyle w:val="Normal"/>
        <w:spacing w:lineRule="auto" w:line="360"/>
        <w:jc w:val="both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 w:val="false"/>
          <w:bCs w:val="false"/>
          <w:sz w:val="20"/>
          <w:szCs w:val="20"/>
        </w:rPr>
        <w:t>2.1. O Cronotacógrafo é um instrumento de uso obrigatório pelo Código de Trânsito Brasileiro – CTB para veículos de transporte e de condução escolar, transporte de passageiros com mais de dez lugares e os de carga com peso bruto total superior a 4.536 toneladas;</w:t>
      </w:r>
    </w:p>
    <w:p>
      <w:pPr>
        <w:pStyle w:val="Normal"/>
        <w:spacing w:lineRule="auto" w:line="36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2.2. O</w:t>
      </w:r>
      <w:r>
        <w:rPr>
          <w:rFonts w:ascii="Verdana" w:hAnsi="Verdana"/>
          <w:b w:val="false"/>
          <w:bCs w:val="false"/>
          <w:sz w:val="20"/>
          <w:szCs w:val="20"/>
        </w:rPr>
        <w:t xml:space="preserve"> instrumento tem o objetivo de indicar e registrar a velocidade e a distância percorrida no tempo de direção no veículo em que está instalado, permitindo determinar o tempo de direção e de parada dos condutores, e, além disso, permite a reconstituição e a elaboração de laudos técnicos em caso de acidente com produção de provas aceitas legalmente;</w:t>
      </w:r>
    </w:p>
    <w:p>
      <w:pPr>
        <w:pStyle w:val="Normal"/>
        <w:spacing w:lineRule="auto" w:line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2.3. Há a necessidade dos veículos </w:t>
      </w:r>
      <w:r>
        <w:rPr>
          <w:rFonts w:eastAsia="Times New Roman" w:cs="Times New Roman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da Secretaria de Educação,</w:t>
      </w:r>
      <w:r>
        <w:rPr>
          <w:rFonts w:ascii="Verdana" w:hAnsi="Verdana"/>
          <w:b w:val="false"/>
          <w:bCs w:val="false"/>
          <w:sz w:val="20"/>
          <w:szCs w:val="20"/>
        </w:rPr>
        <w:t xml:space="preserve"> desta Municipalidade, possuir o Certificado de Verificação do Cronotacógrafo que é feito junto a empresas credenciadas ao INMETRO, vez que os Certificados de Verificação dos referidos veículos têm prazo de validade </w:t>
      </w:r>
      <w:r>
        <w:rPr>
          <w:rFonts w:eastAsia="Times New Roman" w:cs="Times New Roman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de dois anos</w:t>
      </w:r>
      <w:r>
        <w:rPr>
          <w:rFonts w:ascii="Verdana" w:hAnsi="Verdana"/>
          <w:b w:val="false"/>
          <w:bCs w:val="false"/>
          <w:sz w:val="20"/>
          <w:szCs w:val="20"/>
        </w:rPr>
        <w:t>;</w:t>
      </w:r>
    </w:p>
    <w:p>
      <w:pPr>
        <w:pStyle w:val="Normal"/>
        <w:spacing w:lineRule="auto" w:line="360"/>
        <w:ind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2.4. C</w:t>
      </w:r>
      <w:r>
        <w:rPr>
          <w:rFonts w:eastAsia="Times New Roman" w:cs="Times New Roman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onsiderando</w:t>
      </w:r>
      <w:r>
        <w:rPr>
          <w:rFonts w:ascii="Verdana" w:hAnsi="Verdana"/>
          <w:b w:val="false"/>
          <w:bCs w:val="false"/>
          <w:sz w:val="20"/>
          <w:szCs w:val="20"/>
        </w:rPr>
        <w:t xml:space="preserve"> a eventual necessidade de manutenção no instrumento de tacógrafo dos veículo</w:t>
      </w:r>
      <w:r>
        <w:rPr>
          <w:rFonts w:eastAsia="Times New Roman" w:cs="Times New Roman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s tipo ônibus.</w:t>
      </w:r>
    </w:p>
    <w:p>
      <w:pPr>
        <w:pStyle w:val="Normal"/>
        <w:spacing w:lineRule="auto" w:line="360"/>
        <w:ind w:hanging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2.5. Os</w:t>
      </w:r>
      <w:r>
        <w:rPr>
          <w:rFonts w:ascii="Verdana" w:hAnsi="Verdana"/>
          <w:b w:val="false"/>
          <w:bCs w:val="false"/>
          <w:sz w:val="20"/>
          <w:szCs w:val="20"/>
        </w:rPr>
        <w:t xml:space="preserve"> veículos que fazem o Transporte Escolar tem que estar em dia com a documentação, evitando assim sérios prejuízos a este município;</w:t>
      </w:r>
    </w:p>
    <w:p>
      <w:pPr>
        <w:pStyle w:val="Normal"/>
        <w:spacing w:lineRule="auto" w:line="360"/>
        <w:ind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</w:rPr>
        <w:t>2.6. C</w:t>
      </w:r>
      <w:r>
        <w:rPr>
          <w:rFonts w:eastAsia="Times New Roman" w:cs="Times New Roman" w:ascii="Verdana" w:hAnsi="Verdana"/>
          <w:b w:val="false"/>
          <w:bCs w:val="false"/>
          <w:i w:val="false"/>
          <w:iCs w:val="false"/>
          <w:color w:val="auto"/>
          <w:kern w:val="0"/>
          <w:sz w:val="20"/>
          <w:szCs w:val="20"/>
          <w:lang w:val="pt-BR" w:eastAsia="zh-CN" w:bidi="ar-SA"/>
        </w:rPr>
        <w:t>onsiderando</w:t>
      </w: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</w:rPr>
        <w:t xml:space="preserve"> a Súmula nº 247 do Tribunal de Contas da União: “É obrigatória a admissão da adjudicação por item e não por preço global, nos editais das licitações para a contratação de obras, serviços, compras e alienações, cujo objeto seja divisível, desde que não haja prejuízo para o conjunto ou complexo ou perda de economia de escala, tendo em vista o objetivo de propiciar a ampla participação de licitantes que, embora não dispondo de capacidade para a execução, fornecimento ou aquisição da totalidade do objeto, possam fazê-lo com relação a itens ou unidades autônomas, devendo as exigências de habilitação adequar-se a essa divisibilidade.”</w:t>
      </w:r>
    </w:p>
    <w:p>
      <w:pPr>
        <w:pStyle w:val="ListParagraph"/>
        <w:widowControl/>
        <w:numPr>
          <w:ilvl w:val="0"/>
          <w:numId w:val="0"/>
        </w:numPr>
        <w:suppressAutoHyphens w:val="true"/>
        <w:bidi w:val="0"/>
        <w:spacing w:lineRule="auto" w:line="36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sz w:val="20"/>
          <w:szCs w:val="20"/>
        </w:rPr>
        <w:t>2.7. Diante da necessidade acima, iniciou-se o presente ETP por meio do qual será possível decidir qual é a melhor solução.</w:t>
      </w:r>
    </w:p>
    <w:p>
      <w:pPr>
        <w:pStyle w:val="ListParagraph"/>
        <w:widowControl/>
        <w:numPr>
          <w:ilvl w:val="0"/>
          <w:numId w:val="0"/>
        </w:numPr>
        <w:suppressAutoHyphens w:val="true"/>
        <w:bidi w:val="0"/>
        <w:spacing w:lineRule="auto" w:line="36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sz w:val="20"/>
          <w:szCs w:val="20"/>
        </w:rPr>
        <w:t xml:space="preserve">2.8. A quantidade foi estimada com base na demanda </w:t>
      </w:r>
      <w:r>
        <w:rPr>
          <w:rFonts w:eastAsia="Arial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da Secretaria de Educação.</w:t>
      </w:r>
    </w:p>
    <w:p>
      <w:pPr>
        <w:pStyle w:val="Normal"/>
        <w:spacing w:lineRule="auto" w:line="36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sz w:val="20"/>
          <w:szCs w:val="20"/>
        </w:rPr>
        <w:t xml:space="preserve">2.9. A contratação pretendida tem consonância com o planejamento estratégico desta Instituição, uma vez que consta na sua programação orçamentária e financeira anual. </w:t>
      </w:r>
    </w:p>
    <w:p>
      <w:pPr>
        <w:pStyle w:val="Normal"/>
        <w:tabs>
          <w:tab w:val="clear" w:pos="708"/>
          <w:tab w:val="left" w:pos="1418" w:leader="none"/>
        </w:tabs>
        <w:spacing w:lineRule="auto" w:line="240" w:before="114" w:after="114"/>
        <w:ind w:hanging="0" w:left="0"/>
        <w:jc w:val="both"/>
        <w:rPr>
          <w:rFonts w:ascii="Verdana" w:hAnsi="Verdana"/>
          <w:sz w:val="20"/>
          <w:szCs w:val="20"/>
          <w:highlight w:val="none"/>
          <w:shd w:fill="FFFF00" w:val="clear"/>
        </w:rPr>
      </w:pPr>
      <w:r>
        <w:rPr>
          <w:rFonts w:ascii="Verdana" w:hAnsi="Verdana"/>
          <w:sz w:val="20"/>
          <w:szCs w:val="20"/>
          <w:shd w:fill="FFFF00" w:val="clear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335" w:leader="none"/>
        </w:tabs>
        <w:spacing w:lineRule="auto" w:line="276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>3. DESCRIÇÃO DA SOLUÇÃO</w:t>
      </w:r>
    </w:p>
    <w:p>
      <w:pPr>
        <w:pStyle w:val="Normal"/>
        <w:spacing w:lineRule="auto" w:line="360" w:before="114" w:after="114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 xml:space="preserve">3.1 A solução a ser adotada consiste na </w:t>
      </w:r>
      <w:r>
        <w:rPr>
          <w:rFonts w:eastAsia="Arial" w:cs="Times New Roman" w:ascii="Verdana" w:hAnsi="Verdana"/>
          <w:b w:val="false"/>
          <w:bCs w:val="false"/>
          <w:sz w:val="20"/>
          <w:szCs w:val="20"/>
        </w:rPr>
        <w:t>Contratação de empresa especializada para serviços de aferição e manutenção de tacógrafos com fornecimento de peças, se necessário, para manutenção de tacógrafos dos veículos da frota da Secretaria Municipal de Educação, para obtenção do Certificado de Verificação, válido por 2 (dois) anos.</w:t>
      </w:r>
    </w:p>
    <w:p>
      <w:pPr>
        <w:pStyle w:val="Normal"/>
        <w:spacing w:lineRule="auto" w:line="36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Times New Roman" w:ascii="Verdana" w:hAnsi="Verdana"/>
          <w:b w:val="false"/>
          <w:bCs w:val="false"/>
          <w:sz w:val="20"/>
          <w:szCs w:val="20"/>
          <w:shd w:fill="auto" w:val="clear"/>
        </w:rPr>
        <w:t xml:space="preserve">3.2. </w:t>
      </w:r>
      <w:r>
        <w:rPr>
          <w:rFonts w:eastAsia="Arial" w:cs="Times New Roman" w:ascii="Verdana" w:hAnsi="Verdana"/>
          <w:b w:val="false"/>
          <w:bCs w:val="false"/>
          <w:sz w:val="20"/>
          <w:szCs w:val="20"/>
          <w:shd w:fill="FFFF00" w:val="clear"/>
        </w:rPr>
        <w:t>A empresa contratada deverá se localizar a u</w:t>
      </w:r>
      <w:r>
        <w:rPr>
          <w:rFonts w:eastAsia="Arial" w:cs="Times New Roman" w:ascii="Verdana" w:hAnsi="Verdana"/>
          <w:b w:val="false"/>
          <w:bCs w:val="false"/>
          <w:color w:val="000000"/>
          <w:kern w:val="0"/>
          <w:sz w:val="20"/>
          <w:szCs w:val="20"/>
          <w:shd w:fill="FFFF00" w:val="clear"/>
          <w:lang w:val="pt-BR" w:eastAsia="zh-CN" w:bidi="ar-SA"/>
        </w:rPr>
        <w:t>ma distância</w:t>
      </w:r>
      <w:r>
        <w:rPr>
          <w:rFonts w:eastAsia="Arial" w:cs="Times New Roman" w:ascii="Verdana" w:hAnsi="Verdana"/>
          <w:b w:val="false"/>
          <w:bCs w:val="false"/>
          <w:sz w:val="20"/>
          <w:szCs w:val="20"/>
          <w:shd w:fill="FFFF00" w:val="clear"/>
        </w:rPr>
        <w:t xml:space="preserve"> de no máximo 100 quilômetros do município de São Gabriel da Palha Es. NAO PODEEEEE</w:t>
      </w:r>
    </w:p>
    <w:p>
      <w:pPr>
        <w:pStyle w:val="Normal"/>
        <w:spacing w:lineRule="auto" w:line="36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3.3 A contratação para a contratação da prestação de serviços deverá obedecer, no que couber, ao disposto na Lei n.º 14.133/2021 e suas alterações e o decreto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Nº 3287/2022.</w:t>
      </w:r>
    </w:p>
    <w:p>
      <w:pPr>
        <w:pStyle w:val="Normal"/>
        <w:spacing w:lineRule="auto" w:line="36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3.4. DEFINIÇÃO E JUSTIFICATIVA DE CARACTERIZAÇÃO DO OBJETO E PRAZOS DA CONTRATAÇÃO</w:t>
      </w:r>
    </w:p>
    <w:p>
      <w:pPr>
        <w:pStyle w:val="Normal"/>
        <w:spacing w:lineRule="auto" w:line="36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 xml:space="preserve">3.4.1. A demanda a ser </w:t>
      </w:r>
      <w:r>
        <w:rPr>
          <w:rFonts w:eastAsia="Arial" w:cs="Times New Roman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contratada é de empresa especializada para serviços de aferição e manutenção de tacógrafos com fornecimento de peças, se necessário, para manutenção de tacógrafos dos veículos da frota da Secretaria Municipal de Educação, para obtenção do Certificado de Verificação, válido por 2 (dois) anos.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 por um período de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60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 (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sessenta</w:t>
      </w:r>
      <w:r>
        <w:rPr>
          <w:rFonts w:cs="Arial" w:ascii="Verdana" w:hAnsi="Verdana"/>
          <w:b w:val="false"/>
          <w:bCs w:val="false"/>
          <w:sz w:val="20"/>
          <w:szCs w:val="20"/>
        </w:rPr>
        <w:t>) meses, conforme quantidades e especificações constantes definidas ETP.</w:t>
      </w:r>
    </w:p>
    <w:p>
      <w:pPr>
        <w:pStyle w:val="Normal"/>
        <w:spacing w:lineRule="auto" w:line="240" w:before="57" w:after="57"/>
        <w:jc w:val="both"/>
        <w:rPr>
          <w:rFonts w:ascii="Verdana" w:hAnsi="Verdana"/>
          <w:sz w:val="20"/>
          <w:szCs w:val="20"/>
          <w:highlight w:val="none"/>
          <w:u w:val="none"/>
          <w:shd w:fill="FFFF00" w:val="clear"/>
        </w:rPr>
      </w:pPr>
      <w:r>
        <w:rPr>
          <w:rFonts w:ascii="Verdana" w:hAnsi="Verdana"/>
          <w:sz w:val="20"/>
          <w:szCs w:val="20"/>
          <w:u w:val="none"/>
          <w:shd w:fill="FFFF00" w:val="clear"/>
        </w:rPr>
      </w:r>
    </w:p>
    <w:p>
      <w:pPr>
        <w:pStyle w:val="Normal"/>
        <w:numPr>
          <w:ilvl w:val="0"/>
          <w:numId w:val="0"/>
        </w:numPr>
        <w:spacing w:lineRule="auto" w:line="276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>4. REQUISITOS DA CONTRATAÇÃO</w:t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563" w:leader="none"/>
        </w:tabs>
        <w:suppressAutoHyphens w:val="true"/>
        <w:bidi w:val="0"/>
        <w:spacing w:lineRule="auto" w:line="360" w:before="114" w:after="114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shd w:fill="auto" w:val="clear"/>
        </w:rPr>
        <w:t>4.1. Não haverá danos ao meio ambiente, uma vez que o serviço não gerará tal problema para a Administração Pública.</w:t>
      </w:r>
    </w:p>
    <w:p>
      <w:pPr>
        <w:pStyle w:val="Normal"/>
        <w:spacing w:lineRule="auto" w:line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4.2.</w:t>
      </w:r>
      <w:r>
        <w:rPr>
          <w:rFonts w:eastAsia="Arial" w:cs="Arial" w:ascii="Verdana" w:hAnsi="Verdana"/>
          <w:b w:val="false"/>
          <w:bCs w:val="false"/>
          <w:sz w:val="20"/>
          <w:szCs w:val="20"/>
        </w:rPr>
        <w:t xml:space="preserve"> </w:t>
      </w:r>
      <w:r>
        <w:rPr>
          <w:rFonts w:ascii="Verdana" w:hAnsi="Verdana"/>
          <w:b w:val="false"/>
          <w:bCs w:val="false"/>
          <w:sz w:val="20"/>
          <w:szCs w:val="20"/>
        </w:rPr>
        <w:t>Apresentar os documentos de cobrança, inclusive Nota Fiscal, com a descrição dos serviços realizados.</w:t>
      </w:r>
    </w:p>
    <w:p>
      <w:pPr>
        <w:pStyle w:val="Normal"/>
        <w:spacing w:lineRule="auto" w:line="36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4</w:t>
      </w:r>
      <w:r>
        <w:rPr>
          <w:rFonts w:ascii="Verdana" w:hAnsi="Verdana"/>
          <w:b w:val="false"/>
          <w:bCs w:val="false"/>
          <w:sz w:val="20"/>
          <w:szCs w:val="20"/>
        </w:rPr>
        <w:t>.3. Assumir inteira responsabilidade civil, administrativa e penal por quaisquer danos e prejuízos, aos equipamentos ou pessoas, causados pela Contratada, seus empregados, ou prepostos ao Contratante ou a terceiros;</w:t>
      </w:r>
    </w:p>
    <w:p>
      <w:pPr>
        <w:pStyle w:val="Normal"/>
        <w:spacing w:lineRule="auto" w:line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4.4. Obriga-se a Contratada, mediante solicitação do Contratante, a orçar previamente eventual execução de serviços não cobertos pelo objeto do Contrato;</w:t>
      </w:r>
    </w:p>
    <w:p>
      <w:pPr>
        <w:pStyle w:val="Normal"/>
        <w:spacing w:lineRule="auto" w:line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4.5. Prover condições que possibilitem o atendimento dos serviços a partir da data da assinatura do contrato;</w:t>
      </w:r>
    </w:p>
    <w:p>
      <w:pPr>
        <w:pStyle w:val="Normal"/>
        <w:spacing w:lineRule="auto" w:line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4.6. Manter durante a vigência do Contrato todas as condições de habilitação e qualificação exigidas pela legislação em vigor;</w:t>
      </w:r>
    </w:p>
    <w:p>
      <w:pPr>
        <w:pStyle w:val="Normal"/>
        <w:spacing w:lineRule="auto" w:line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4.7. Ressarcir os eventuais prejuízos causados ao órgão e/ou a terceiros, provocados por ineficiência ou irregularidades cometidas por seus empregados ou prepostos na execução dos serviços contratados;</w:t>
      </w:r>
    </w:p>
    <w:p>
      <w:pPr>
        <w:pStyle w:val="Normal"/>
        <w:spacing w:lineRule="auto" w:line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4.8. Permitir e facilitar aos fiscais da Prefeitura de São Gabriel da Palha a inspeção em qualquer dia e hora, prestando todos informes e esclarecimentos solicitados, relacionados com os serviços contratados;</w:t>
      </w:r>
    </w:p>
    <w:p>
      <w:pPr>
        <w:pStyle w:val="Normal"/>
        <w:spacing w:lineRule="auto" w:line="36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4.9.</w:t>
      </w:r>
      <w:r>
        <w:rPr>
          <w:rFonts w:ascii="Verdana" w:hAnsi="Verdana"/>
          <w:b w:val="false"/>
          <w:bCs w:val="false"/>
          <w:sz w:val="20"/>
          <w:szCs w:val="20"/>
        </w:rPr>
        <w:t xml:space="preserve"> Manter-se plenamente de acordo com os preceitos legais pertinentes à segurança do trabalho, adotando sempre as melhores normas técnicas de segurança e saúde aos profissionais que atuarão na execução do objeto do Contrato;</w:t>
      </w:r>
    </w:p>
    <w:p>
      <w:pPr>
        <w:pStyle w:val="Normal"/>
        <w:tabs>
          <w:tab w:val="clear" w:pos="708"/>
          <w:tab w:val="left" w:pos="142" w:leader="none"/>
        </w:tabs>
        <w:spacing w:lineRule="auto" w:line="36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sz w:val="20"/>
          <w:szCs w:val="20"/>
        </w:rPr>
        <w:t>4.10. Executar os serviços de acordo com a melhor técnica e nos padrões de segurança;</w:t>
      </w:r>
    </w:p>
    <w:p>
      <w:pPr>
        <w:pStyle w:val="Normal"/>
        <w:spacing w:lineRule="auto" w:line="36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4.11.</w:t>
      </w:r>
      <w:r>
        <w:rPr>
          <w:rFonts w:eastAsia="Arial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 xml:space="preserve"> Atender com plenitude as exigências contidas nas especificações do objeto do Contrato;</w:t>
      </w:r>
    </w:p>
    <w:p>
      <w:pPr>
        <w:pStyle w:val="Normal"/>
        <w:spacing w:lineRule="auto" w:line="36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4.12. A empresa vencedora será a mesma para a prestação de serviços de aferição e manutenção de tacógrafos e fornecimento de peças para os mesmos, dessa forma, a reposição das peças para o perfeito funcionamento dos instrumentos será feito no mesmo momento da prestação de serviços, proporcionando economia para o Município.</w:t>
      </w:r>
    </w:p>
    <w:p>
      <w:pPr>
        <w:pStyle w:val="Normal"/>
        <w:spacing w:lineRule="auto" w:line="36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4.13.</w:t>
      </w:r>
      <w:r>
        <w:rPr>
          <w:rFonts w:ascii="Verdana" w:hAnsi="Verdana"/>
          <w:b w:val="false"/>
          <w:bCs w:val="false"/>
          <w:sz w:val="20"/>
          <w:szCs w:val="20"/>
        </w:rPr>
        <w:t xml:space="preserve"> Será feito orçamento para todas as peças/serviços que poderão vir a ser utilizados, não ficando obrigada a contratante adquirir essas peças/serviços constantes no </w:t>
      </w:r>
      <w:r>
        <w:rPr>
          <w:rFonts w:eastAsia="Times New Roman" w:cs="Times New Roman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contrato</w:t>
      </w:r>
      <w:r>
        <w:rPr>
          <w:rFonts w:ascii="Verdana" w:hAnsi="Verdana"/>
          <w:b w:val="false"/>
          <w:bCs w:val="false"/>
          <w:sz w:val="20"/>
          <w:szCs w:val="20"/>
        </w:rPr>
        <w:t>, portanto será adquirido somente as peças necessárias ao perfeito funcionamento dos instrumentos de cronotacógrafos.</w:t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563" w:leader="none"/>
        </w:tabs>
        <w:suppressAutoHyphens w:val="true"/>
        <w:bidi w:val="0"/>
        <w:spacing w:lineRule="auto" w:line="36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4.14. A contratada retirará a Nota fiscal das peças utilizadas para a manutenção dos tacógrafos, e somente estas serão liquidadas e pagas por esta Prefeitura, juntamente com os serviços executados.</w:t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513" w:leader="none"/>
        </w:tabs>
        <w:suppressAutoHyphens w:val="true"/>
        <w:bidi w:val="0"/>
        <w:spacing w:lineRule="auto" w:line="36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shd w:fill="auto" w:val="clear"/>
        </w:rPr>
        <w:t xml:space="preserve">4.15. A empresa prestadora de serviços será contratada por meio de </w:t>
      </w:r>
      <w:r>
        <w:rPr>
          <w:rFonts w:ascii="Verdana" w:hAnsi="Verdana"/>
          <w:b/>
          <w:bCs/>
          <w:sz w:val="20"/>
          <w:szCs w:val="20"/>
          <w:shd w:fill="auto" w:val="clear"/>
        </w:rPr>
        <w:t>licitação</w:t>
      </w:r>
      <w:r>
        <w:rPr>
          <w:rFonts w:ascii="Verdana" w:hAnsi="Verdana"/>
          <w:sz w:val="20"/>
          <w:szCs w:val="20"/>
          <w:shd w:fill="auto" w:val="clear"/>
        </w:rPr>
        <w:t xml:space="preserve">, sendo sagrado vencedor, o fornecedor que apresentar o menor valor </w:t>
      </w: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pt-BR" w:bidi="ar-SA"/>
        </w:rPr>
        <w:t>por lote</w:t>
      </w:r>
      <w:r>
        <w:rPr>
          <w:rFonts w:ascii="Verdana" w:hAnsi="Verdana"/>
          <w:sz w:val="20"/>
          <w:szCs w:val="20"/>
          <w:shd w:fill="auto" w:val="clear"/>
        </w:rPr>
        <w:t xml:space="preserve"> dos itens, isto é, do lote 01 – justifica-se a contratação por lote, pois os serviços executados pela mesma empresa (realizados ao mesmo tempo gerará economia para a Administração), com </w:t>
      </w: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pt-BR" w:bidi="ar-SA"/>
        </w:rPr>
        <w:t>a prestação de serviços</w:t>
      </w:r>
      <w:r>
        <w:rPr>
          <w:rFonts w:ascii="Verdana" w:hAnsi="Verdana"/>
          <w:sz w:val="20"/>
          <w:szCs w:val="20"/>
          <w:shd w:fill="auto" w:val="clear"/>
        </w:rPr>
        <w:t xml:space="preserve"> </w:t>
      </w: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pt-BR" w:bidi="ar-SA"/>
        </w:rPr>
        <w:t>de acordo com a solicitação da secretaria requisitante</w:t>
      </w:r>
      <w:r>
        <w:rPr>
          <w:rFonts w:ascii="Verdana" w:hAnsi="Verdana"/>
          <w:sz w:val="20"/>
          <w:szCs w:val="20"/>
          <w:shd w:fill="auto" w:val="clear"/>
        </w:rPr>
        <w:t>.</w:t>
      </w:r>
    </w:p>
    <w:p>
      <w:pPr>
        <w:pStyle w:val="Normal"/>
        <w:numPr>
          <w:ilvl w:val="0"/>
          <w:numId w:val="0"/>
        </w:numPr>
        <w:spacing w:lineRule="auto" w:line="36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shd w:fill="auto" w:val="clear"/>
        </w:rPr>
        <w:t xml:space="preserve">4.16. A empresa fornecedora devera </w:t>
      </w: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pt-BR" w:bidi="ar-SA"/>
        </w:rPr>
        <w:t>realizar</w:t>
      </w:r>
      <w:r>
        <w:rPr>
          <w:rFonts w:ascii="Verdana" w:hAnsi="Verdana"/>
          <w:sz w:val="20"/>
          <w:szCs w:val="20"/>
          <w:shd w:fill="auto" w:val="clear"/>
        </w:rPr>
        <w:t xml:space="preserve"> o serviço conforme especificação co contrato e na autorização de fornecimento/execução.</w:t>
      </w:r>
    </w:p>
    <w:p>
      <w:pPr>
        <w:pStyle w:val="Normal"/>
        <w:numPr>
          <w:ilvl w:val="0"/>
          <w:numId w:val="0"/>
        </w:numPr>
        <w:spacing w:lineRule="auto" w:line="36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pt-BR" w:bidi="ar-SA"/>
        </w:rPr>
        <w:t xml:space="preserve">4.17. </w:t>
      </w:r>
      <w:r>
        <w:rPr>
          <w:rFonts w:ascii="Verdana" w:hAnsi="Verdana"/>
          <w:sz w:val="20"/>
          <w:szCs w:val="20"/>
          <w:shd w:fill="auto" w:val="clear"/>
        </w:rPr>
        <w:t>Não será admitida a subcontratação do objeto contratual.</w:t>
      </w:r>
    </w:p>
    <w:p>
      <w:pPr>
        <w:pStyle w:val="Normal"/>
        <w:numPr>
          <w:ilvl w:val="0"/>
          <w:numId w:val="0"/>
        </w:numPr>
        <w:spacing w:lineRule="auto" w:line="36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pt-BR" w:bidi="ar-SA"/>
        </w:rPr>
        <w:t>4.18.</w:t>
      </w:r>
      <w:r>
        <w:rPr>
          <w:rFonts w:ascii="Verdana" w:hAnsi="Verdana"/>
          <w:sz w:val="20"/>
          <w:szCs w:val="20"/>
          <w:shd w:fill="auto" w:val="clear"/>
        </w:rPr>
        <w:t xml:space="preserve"> Não haverá exigência da garantia da contratação dos arts. 96 e seguintes da Lei nº 14.133/21.</w:t>
      </w:r>
    </w:p>
    <w:p>
      <w:pPr>
        <w:pStyle w:val="ListParagraph"/>
        <w:widowControl/>
        <w:numPr>
          <w:ilvl w:val="0"/>
          <w:numId w:val="0"/>
        </w:numPr>
        <w:shd w:fill="FFFFFF"/>
        <w:suppressAutoHyphens w:val="false"/>
        <w:bidi w:val="0"/>
        <w:spacing w:lineRule="auto" w:line="240" w:before="57" w:after="57"/>
        <w:ind w:hanging="0" w:left="0" w:right="0"/>
        <w:contextualSpacing/>
        <w:jc w:val="both"/>
        <w:rPr>
          <w:rFonts w:ascii="Verdana" w:hAnsi="Verdana"/>
          <w:sz w:val="20"/>
          <w:szCs w:val="20"/>
          <w:highlight w:val="none"/>
          <w:shd w:fill="FFFF00" w:val="clear"/>
        </w:rPr>
      </w:pPr>
      <w:r>
        <w:rPr>
          <w:rFonts w:ascii="Verdana" w:hAnsi="Verdana"/>
          <w:sz w:val="20"/>
          <w:szCs w:val="20"/>
          <w:shd w:fill="FFFF00" w:val="clear"/>
        </w:rPr>
      </w:r>
    </w:p>
    <w:p>
      <w:pPr>
        <w:pStyle w:val="Normal"/>
        <w:numPr>
          <w:ilvl w:val="0"/>
          <w:numId w:val="0"/>
        </w:numPr>
        <w:spacing w:lineRule="auto" w:line="276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 xml:space="preserve">5. MODELO DE EXECUÇÃO CONTRATUAL </w:t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508" w:leader="none"/>
        </w:tabs>
        <w:suppressAutoHyphens w:val="true"/>
        <w:bidi w:val="0"/>
        <w:spacing w:lineRule="auto" w:line="360" w:before="114" w:after="114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shd w:fill="auto" w:val="clear"/>
        </w:rPr>
        <w:t xml:space="preserve">5.1. O prazo de execução dos serviços será de 60 (sessenta) meses, de acordo com o contrato e a </w:t>
      </w: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pt-BR" w:bidi="ar-SA"/>
        </w:rPr>
        <w:t>autorização</w:t>
      </w:r>
      <w:r>
        <w:rPr>
          <w:rFonts w:ascii="Verdana" w:hAnsi="Verdana"/>
          <w:sz w:val="20"/>
          <w:szCs w:val="20"/>
          <w:shd w:fill="auto" w:val="clear"/>
        </w:rPr>
        <w:t xml:space="preserve"> de compras/execução emitida pelo Departamento de Compras e Contratos e seu respectivo prazo </w:t>
      </w: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pt-BR" w:bidi="ar-SA"/>
        </w:rPr>
        <w:t>de realização dos serviços</w:t>
      </w: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pt-BR" w:bidi="ar-SA"/>
        </w:rPr>
        <w:t xml:space="preserve">, </w:t>
      </w: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pt-BR" w:bidi="ar-SA"/>
        </w:rPr>
        <w:t xml:space="preserve">que </w:t>
      </w: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pt-BR" w:bidi="ar-SA"/>
        </w:rPr>
        <w:t>serão realizados na empresa contratada.</w:t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508" w:leader="none"/>
        </w:tabs>
        <w:suppressAutoHyphens w:val="true"/>
        <w:bidi w:val="0"/>
        <w:spacing w:lineRule="auto" w:line="360" w:before="114" w:after="114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Cs/>
          <w:color w:val="000000"/>
          <w:kern w:val="0"/>
          <w:sz w:val="20"/>
          <w:szCs w:val="20"/>
          <w:u w:val="none"/>
          <w:shd w:fill="auto" w:val="clear"/>
          <w:lang w:val="pt-BR" w:eastAsia="pt-BR" w:bidi="ar-SA"/>
        </w:rPr>
        <w:t xml:space="preserve">5.2. Responsável: </w:t>
      </w:r>
      <w:r>
        <w:rPr>
          <w:rFonts w:ascii="Verdana" w:hAnsi="Verdana"/>
          <w:sz w:val="20"/>
          <w:szCs w:val="20"/>
          <w:shd w:fill="auto" w:val="clear"/>
        </w:rPr>
        <w:t xml:space="preserve">Secretaria Municipal de </w:t>
      </w:r>
      <w:r>
        <w:rPr>
          <w:rFonts w:eastAsia="Times New Roman" w:cs="Times New Roman" w:ascii="Verdana" w:hAnsi="Verdana"/>
          <w:sz w:val="20"/>
          <w:szCs w:val="20"/>
          <w:shd w:fill="auto" w:val="clear"/>
        </w:rPr>
        <w:t>E</w:t>
      </w: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pt-BR" w:bidi="ar-SA"/>
        </w:rPr>
        <w:t>ducação</w:t>
      </w:r>
      <w:r>
        <w:rPr>
          <w:rFonts w:ascii="Verdana" w:hAnsi="Verdana"/>
          <w:sz w:val="20"/>
          <w:szCs w:val="20"/>
          <w:shd w:fill="auto" w:val="clear"/>
        </w:rPr>
        <w:t xml:space="preserve">, localizada no 2º andar da Sede desta Prefeitura, à </w:t>
      </w:r>
      <w:r>
        <w:rPr>
          <w:rFonts w:eastAsia="Times New Roman" w:cs="Liberation Serif" w:ascii="Verdana" w:hAnsi="Verdana"/>
          <w:color w:val="000000"/>
          <w:kern w:val="0"/>
          <w:sz w:val="20"/>
          <w:szCs w:val="20"/>
          <w:shd w:fill="auto" w:val="clear"/>
          <w:lang w:val="pt-BR" w:eastAsia="pt-BR" w:bidi="ar-SA"/>
        </w:rPr>
        <w:t>Praça Vicente Glazar, nº 159</w:t>
      </w:r>
      <w:r>
        <w:rPr>
          <w:rFonts w:cs="Liberation Serif" w:ascii="Verdana" w:hAnsi="Verdana"/>
          <w:sz w:val="20"/>
          <w:szCs w:val="20"/>
          <w:shd w:fill="auto" w:val="clear"/>
        </w:rPr>
        <w:t xml:space="preserve">, Bairro Glória, </w:t>
      </w:r>
      <w:r>
        <w:rPr>
          <w:rFonts w:ascii="Verdana" w:hAnsi="Verdana"/>
          <w:sz w:val="20"/>
          <w:szCs w:val="20"/>
          <w:shd w:fill="auto" w:val="clear"/>
        </w:rPr>
        <w:t>São Gabriel da Palha – ES, Cep.29.780-000.</w:t>
      </w:r>
    </w:p>
    <w:p>
      <w:pPr>
        <w:pStyle w:val="Normal"/>
        <w:tabs>
          <w:tab w:val="clear" w:pos="708"/>
          <w:tab w:val="left" w:pos="508" w:leader="none"/>
        </w:tabs>
        <w:spacing w:lineRule="auto" w:line="360"/>
        <w:ind w:hanging="0" w:left="0" w:right="0"/>
        <w:jc w:val="both"/>
        <w:rPr/>
      </w:pPr>
      <w:r>
        <w:rPr>
          <w:rFonts w:ascii="Verdana" w:hAnsi="Verdana"/>
          <w:sz w:val="20"/>
          <w:szCs w:val="20"/>
          <w:shd w:fill="auto" w:val="clear"/>
        </w:rPr>
        <w:t xml:space="preserve">E-mail.: </w:t>
      </w:r>
      <w:hyperlink r:id="rId2">
        <w:r>
          <w:rPr>
            <w:rStyle w:val="Hyperlink"/>
            <w:rFonts w:ascii="Verdana" w:hAnsi="Verdana"/>
            <w:color w:val="000000"/>
            <w:sz w:val="20"/>
            <w:szCs w:val="20"/>
            <w:u w:val="none"/>
            <w:shd w:fill="auto" w:val="clear"/>
          </w:rPr>
          <w:t>transportesemedsgp</w:t>
        </w:r>
        <w:r>
          <w:rPr>
            <w:rStyle w:val="Hyperlink"/>
            <w:rFonts w:eastAsia="Times New Roman" w:cs="Times New Roman" w:ascii="Verdana" w:hAnsi="Verdana"/>
            <w:color w:val="000000"/>
            <w:kern w:val="0"/>
            <w:sz w:val="20"/>
            <w:szCs w:val="20"/>
            <w:u w:val="none"/>
            <w:shd w:fill="auto" w:val="clear"/>
            <w:lang w:val="pt-BR" w:eastAsia="pt-BR" w:bidi="ar-SA"/>
          </w:rPr>
          <w:t>@gmail.com</w:t>
        </w:r>
      </w:hyperlink>
    </w:p>
    <w:p>
      <w:pPr>
        <w:pStyle w:val="Normal"/>
        <w:tabs>
          <w:tab w:val="clear" w:pos="708"/>
          <w:tab w:val="left" w:pos="508" w:leader="none"/>
        </w:tabs>
        <w:spacing w:lineRule="auto" w:line="360"/>
        <w:ind w:hanging="0" w:left="0" w:right="0"/>
        <w:jc w:val="both"/>
        <w:rPr/>
      </w:pPr>
      <w:r>
        <w:rPr>
          <w:rStyle w:val="Hyperlink"/>
          <w:rFonts w:eastAsia="Times New Roman" w:cs="Times New Roman" w:ascii="Verdana" w:hAnsi="Verdana"/>
          <w:color w:val="000000"/>
          <w:kern w:val="0"/>
          <w:sz w:val="20"/>
          <w:szCs w:val="20"/>
          <w:u w:val="none"/>
          <w:shd w:fill="auto" w:val="clear"/>
          <w:lang w:val="pt-BR" w:eastAsia="pt-BR" w:bidi="ar-SA"/>
        </w:rPr>
        <w:t>Telefone: (27) 3727 – 1993</w:t>
      </w:r>
    </w:p>
    <w:p>
      <w:pPr>
        <w:pStyle w:val="Normal"/>
        <w:tabs>
          <w:tab w:val="clear" w:pos="708"/>
          <w:tab w:val="left" w:pos="508" w:leader="none"/>
        </w:tabs>
        <w:spacing w:lineRule="auto" w:line="36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pt-BR" w:bidi="ar-SA"/>
        </w:rPr>
        <w:t>5.3. A empresa deverá responsabilizar-se pelos veículos entregues para a realização do serviço, assumindo total responsabilidade por quaisquer danos ou prejuízos causados ao veículo ou a terceiros, enquanto o veículo estiver sob sua guarda.</w:t>
      </w:r>
    </w:p>
    <w:p>
      <w:pPr>
        <w:pStyle w:val="Normal"/>
        <w:tabs>
          <w:tab w:val="clear" w:pos="708"/>
          <w:tab w:val="left" w:pos="508" w:leader="none"/>
        </w:tabs>
        <w:spacing w:lineRule="auto" w:line="36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pt-BR" w:bidi="ar-SA"/>
        </w:rPr>
        <w:t>5.4.</w:t>
      </w:r>
      <w:r>
        <w:rPr>
          <w:rFonts w:eastAsia="Times New Roman" w:cs="Times New Roman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 xml:space="preserve"> </w:t>
      </w:r>
      <w:r>
        <w:rPr>
          <w:rFonts w:eastAsia="Times New Roman" w:cs="Arial" w:ascii="Verdana" w:hAnsi="Verdana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>O recebimento provisório ou definitivo do objeto não exclui a responsabilidade da contratada pelos prejuízos resultantes da incorreta execução do contrato.</w:t>
      </w:r>
    </w:p>
    <w:p>
      <w:pPr>
        <w:pStyle w:val="Normal"/>
        <w:tabs>
          <w:tab w:val="clear" w:pos="708"/>
          <w:tab w:val="left" w:pos="508" w:leader="none"/>
        </w:tabs>
        <w:spacing w:lineRule="auto" w:line="36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>5.5. O contrato deverá ser executado fielmente pelas partes, de acordo com as cláusulas avençadas e as normas da Lei nº 14.133, de 2021, e cada parte responderá pelas consequências de sua inexecução total ou parcial.</w:t>
      </w:r>
    </w:p>
    <w:p>
      <w:pPr>
        <w:pStyle w:val="Normal"/>
        <w:tabs>
          <w:tab w:val="clear" w:pos="708"/>
          <w:tab w:val="left" w:pos="508" w:leader="none"/>
        </w:tabs>
        <w:spacing w:lineRule="auto" w:line="36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>5.6. As comunicações entre o órgão ou entidade e a contratada devem ser realizadas por escrito sempre que o ato exigir tal formalidade, admitindo-se o uso de mensagem eletrônica para esse fim.</w:t>
      </w:r>
    </w:p>
    <w:p>
      <w:pPr>
        <w:pStyle w:val="Normal"/>
        <w:tabs>
          <w:tab w:val="clear" w:pos="708"/>
          <w:tab w:val="left" w:pos="508" w:leader="none"/>
        </w:tabs>
        <w:spacing w:lineRule="auto" w:line="36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>5.7. O órgão ou entidade poderá convocar representante da empresa para adoção de Providências que devam ser cumpridas de imediato.</w:t>
      </w:r>
    </w:p>
    <w:p>
      <w:pPr>
        <w:pStyle w:val="Nivel2"/>
        <w:spacing w:lineRule="auto" w:line="360" w:before="0" w:after="0"/>
        <w:ind w:hanging="0" w:left="0" w:right="0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 w:val="false"/>
          <w:bCs w:val="false"/>
          <w:color w:val="auto"/>
          <w:sz w:val="20"/>
          <w:szCs w:val="20"/>
        </w:rPr>
        <w:t>5.8.</w:t>
      </w:r>
      <w:r>
        <w:rPr>
          <w:rFonts w:cs="Times New Roman" w:ascii="Verdana" w:hAnsi="Verdana"/>
          <w:bCs/>
          <w:color w:val="auto"/>
          <w:sz w:val="20"/>
          <w:szCs w:val="20"/>
        </w:rPr>
        <w:t xml:space="preserve"> Os veículos </w:t>
      </w:r>
      <w:r>
        <w:rPr>
          <w:rFonts w:eastAsia="Calibri" w:cs="Times New Roman" w:ascii="Verdana" w:hAnsi="Verdana"/>
          <w:bCs/>
          <w:color w:val="auto"/>
          <w:kern w:val="0"/>
          <w:sz w:val="20"/>
          <w:szCs w:val="20"/>
          <w:lang w:val="pt-BR" w:eastAsia="en-US" w:bidi="ar-SA"/>
        </w:rPr>
        <w:t>(após a execução do serviço/troca de peças)</w:t>
      </w:r>
      <w:r>
        <w:rPr>
          <w:rFonts w:cs="Times New Roman" w:ascii="Verdana" w:hAnsi="Verdana"/>
          <w:bCs/>
          <w:color w:val="auto"/>
          <w:sz w:val="20"/>
          <w:szCs w:val="20"/>
        </w:rPr>
        <w:t xml:space="preserve"> serão recebidos pelo(a) responsável pelo acompanhamento e fiscalização, para efeito de posterior verificação de sua conformidade com as especificações constantes no Contrato e neste Termo de Referência e na proposta.</w:t>
      </w:r>
    </w:p>
    <w:p>
      <w:pPr>
        <w:pStyle w:val="ListParagraph"/>
        <w:tabs>
          <w:tab w:val="clear" w:pos="708"/>
          <w:tab w:val="left" w:pos="508" w:leader="none"/>
        </w:tabs>
        <w:spacing w:lineRule="auto" w:line="36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>5.9.</w:t>
      </w:r>
      <w:r>
        <w:rPr>
          <w:rFonts w:eastAsia="Times New Roman" w:cs="Arial" w:ascii="Verdana" w:hAnsi="Verdana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 xml:space="preserve"> A conferência/fiscalização deverá ser acompanhada por um servidor </w:t>
      </w:r>
      <w:r>
        <w:rPr>
          <w:rFonts w:eastAsia="Times New Roman" w:cs="Times New Roman" w:ascii="Verdana" w:hAnsi="Verdana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>da secretaria requisitante</w:t>
      </w:r>
      <w:r>
        <w:rPr>
          <w:rFonts w:eastAsia="Times New Roman" w:cs="Arial" w:ascii="Verdana" w:hAnsi="Verdana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>, a fim de zelar pela qualidade e quantidade dos itens a serem adquiridos.</w:t>
      </w:r>
    </w:p>
    <w:p>
      <w:pPr>
        <w:pStyle w:val="ListParagraph"/>
        <w:tabs>
          <w:tab w:val="clear" w:pos="708"/>
          <w:tab w:val="left" w:pos="508" w:leader="none"/>
        </w:tabs>
        <w:spacing w:lineRule="auto" w:line="240"/>
        <w:ind w:hanging="0" w:left="0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  <w:shd w:fill="auto" w:val="clear"/>
        </w:rPr>
        <w:t>6. OBRIGAÇÕES DA CONTRATANTE</w:t>
      </w:r>
    </w:p>
    <w:p>
      <w:pPr>
        <w:pStyle w:val="Normal"/>
        <w:spacing w:lineRule="auto" w:line="360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6.1. Constituem obrigações da Contratante, além de outras previstas no Contrato, Termo de Referência, no Edital e seus anexos:</w:t>
      </w:r>
    </w:p>
    <w:p>
      <w:pPr>
        <w:pStyle w:val="Normal"/>
        <w:spacing w:lineRule="auto" w:line="360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6.2. Contratar o serviço no prazo e condições estabelecidas no Edital e seus anexos.</w:t>
      </w:r>
    </w:p>
    <w:p>
      <w:pPr>
        <w:pStyle w:val="Normal"/>
        <w:tabs>
          <w:tab w:val="clear" w:pos="708"/>
          <w:tab w:val="left" w:pos="508" w:leader="none"/>
        </w:tabs>
        <w:spacing w:lineRule="auto" w:line="360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lang w:val="pt-BR" w:eastAsia="pt-BR" w:bidi="ar-SA"/>
        </w:rPr>
        <w:t>6.3.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Verificar a conformidade dos serviços prestados de acordo com as especificações constantes no Contrato, Termo de Referência, Edital e seus anexos.</w:t>
      </w:r>
    </w:p>
    <w:p>
      <w:pPr>
        <w:pStyle w:val="Normal"/>
        <w:tabs>
          <w:tab w:val="clear" w:pos="708"/>
          <w:tab w:val="left" w:pos="508" w:leader="none"/>
        </w:tabs>
        <w:spacing w:lineRule="auto" w:line="360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lang w:val="pt-BR" w:eastAsia="pt-BR" w:bidi="ar-SA"/>
        </w:rPr>
        <w:t>6.4.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Comunicar a Contratada, por escrito, sobre imperfeições, falhas ou irregularidades verificadas no objeto contratado, para que tome as providências cabíveis.</w:t>
      </w:r>
    </w:p>
    <w:p>
      <w:pPr>
        <w:pStyle w:val="Normal"/>
        <w:tabs>
          <w:tab w:val="clear" w:pos="708"/>
          <w:tab w:val="left" w:pos="508" w:leader="none"/>
        </w:tabs>
        <w:spacing w:lineRule="auto" w:line="360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lang w:val="pt-BR" w:eastAsia="pt-BR" w:bidi="ar-SA"/>
        </w:rPr>
        <w:t xml:space="preserve">6.5.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Acompanhar e fiscalizar o cumprimento das obrigações da Contratada.</w:t>
      </w:r>
    </w:p>
    <w:p>
      <w:pPr>
        <w:pStyle w:val="Normal"/>
        <w:tabs>
          <w:tab w:val="clear" w:pos="708"/>
          <w:tab w:val="left" w:pos="508" w:leader="none"/>
        </w:tabs>
        <w:spacing w:lineRule="auto" w:line="360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lang w:val="pt-BR" w:eastAsia="pt-BR" w:bidi="ar-SA"/>
        </w:rPr>
        <w:t>6.6.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Efetuar o pagamento à Contratada no valor correspondente à prestação do objeto, no prazo e forma estabelecidos no Edital e seus anexo. </w:t>
      </w:r>
    </w:p>
    <w:p>
      <w:pPr>
        <w:pStyle w:val="Normal"/>
        <w:tabs>
          <w:tab w:val="clear" w:pos="708"/>
          <w:tab w:val="left" w:pos="508" w:leader="none"/>
        </w:tabs>
        <w:spacing w:lineRule="auto" w:line="360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lang w:val="pt-BR" w:eastAsia="pt-BR" w:bidi="ar-SA"/>
        </w:rPr>
        <w:t>6.7.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A Administração não responderá por quaisquer compromissos assumidos pela Contratada com terceiros, ainda que vinculados à execução do presente contrato, bem como por qualquer dano causado a terceiros em decorrência de ato da Contratada, de seus empregados, prepostos ou subordinados.</w:t>
      </w:r>
    </w:p>
    <w:p>
      <w:pPr>
        <w:pStyle w:val="Normal"/>
        <w:tabs>
          <w:tab w:val="clear" w:pos="708"/>
          <w:tab w:val="left" w:pos="508" w:leader="none"/>
        </w:tabs>
        <w:spacing w:lineRule="auto" w:line="240" w:before="0" w:after="0"/>
        <w:ind w:hanging="0" w:left="0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40" w:before="171" w:after="171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  <w:shd w:fill="auto" w:val="clear"/>
        </w:rPr>
        <w:t>7. OBRIGAÇÕES DA CONTRATADA</w:t>
      </w:r>
    </w:p>
    <w:p>
      <w:pPr>
        <w:pStyle w:val="Normal"/>
        <w:spacing w:lineRule="auto" w:line="360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>7.1. A Contratada deve cumprir todas as obrigações constantes no Contrato, neste Termo de Referência, seus anexos e sua proposta, assumindo como exclusivamente seus os riscos e as despesas decorrentes da boa e perfeita execução do objeto.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 xml:space="preserve">7.2. Efetuar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>o serviço/troca de peça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>, conforme especificações, prazo e local constantes no Contrato, Termo de Referência e seus anexos, acompanhado da respectiva nota fiscal.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>7.3. Responsabilizar-se pelos vícios e danos decorrentes do objeto, de acordo com os artigos 12, 13 e 17 a 27, do Código de Defesa do Consumidor (Lei nº 8.078, de 1990).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>7.4. Substituir, reparar ou corrigir, às suas expensas, no prazo fixado neste Termo de Referência, o objeto com avarias ou defeitos.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 xml:space="preserve">7.5.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 xml:space="preserve">Comunicar à Contratante, no prazo máximo de 05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>(cinco) dias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 xml:space="preserve"> que antecede a data da entrega, os motivos que impossibilitem o cumprimento do prazo previsto, com a devida comprovação.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 xml:space="preserve">7.6.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 xml:space="preserve">Manter, durante toda a execução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>do contrato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>, em compatibilidade com as obrigações assumidas, todas as condições de habilitação e qualificação exigidas na licitação.</w:t>
      </w:r>
    </w:p>
    <w:p>
      <w:pPr>
        <w:pStyle w:val="Normal"/>
        <w:tabs>
          <w:tab w:val="clear" w:pos="708"/>
          <w:tab w:val="left" w:pos="0" w:leader="none"/>
        </w:tabs>
        <w:spacing w:lineRule="auto" w:line="36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 xml:space="preserve">7.7.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>Indicar preposto para representá-la durante a execução d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>o Contrato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>.</w:t>
      </w:r>
    </w:p>
    <w:p>
      <w:pPr>
        <w:pStyle w:val="Normal"/>
        <w:tabs>
          <w:tab w:val="clear" w:pos="708"/>
          <w:tab w:val="left" w:pos="0" w:leader="none"/>
        </w:tabs>
        <w:spacing w:lineRule="auto" w:line="36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7.8.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A CONTRATADA será responsável pela observância das leis, decretos, regulamentos, portarias e normas federais, estaduais e municipais direta e indiretamente aplicáveis ao objeto do contrato.</w:t>
      </w:r>
    </w:p>
    <w:p>
      <w:pPr>
        <w:pStyle w:val="Normal"/>
        <w:tabs>
          <w:tab w:val="clear" w:pos="708"/>
          <w:tab w:val="left" w:pos="450" w:leader="none"/>
        </w:tabs>
        <w:spacing w:lineRule="auto" w:line="36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7.9. Durante a execução do Contrato, a CONTRATADA deverá:</w:t>
      </w:r>
    </w:p>
    <w:p>
      <w:pPr>
        <w:pStyle w:val="Normal"/>
        <w:tabs>
          <w:tab w:val="clear" w:pos="708"/>
          <w:tab w:val="left" w:pos="450" w:leader="none"/>
        </w:tabs>
        <w:spacing w:lineRule="auto" w:line="36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7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.9.1.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Atender prontamente às solicitações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lang w:val="pt-BR" w:eastAsia="pt-BR" w:bidi="ar-SA"/>
        </w:rPr>
        <w:t xml:space="preserve">da secretaria requisitante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nas quantidades e especificações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lang w:val="pt-BR" w:eastAsia="pt-BR" w:bidi="ar-SA"/>
        </w:rPr>
        <w:t>do Contrato e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Termo de Referência.</w:t>
      </w:r>
    </w:p>
    <w:p>
      <w:pPr>
        <w:pStyle w:val="Normal"/>
        <w:tabs>
          <w:tab w:val="clear" w:pos="708"/>
          <w:tab w:val="left" w:pos="0" w:leader="none"/>
        </w:tabs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7.9.2.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A nota fiscal deverá ser acompanhada pelas Certidões de Regularidades Fiscais.</w:t>
      </w:r>
    </w:p>
    <w:p>
      <w:pPr>
        <w:pStyle w:val="Normal"/>
        <w:tabs>
          <w:tab w:val="clear" w:pos="708"/>
          <w:tab w:val="left" w:pos="0" w:leader="none"/>
        </w:tabs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br/>
      </w:r>
    </w:p>
    <w:p>
      <w:pPr>
        <w:pStyle w:val="Normal"/>
        <w:tabs>
          <w:tab w:val="clear" w:pos="708"/>
          <w:tab w:val="left" w:pos="0" w:leader="none"/>
        </w:tabs>
        <w:spacing w:lineRule="auto" w:line="240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8. CRITÉRIOS DE PAGAMENTO</w:t>
      </w:r>
    </w:p>
    <w:p>
      <w:pPr>
        <w:pStyle w:val="Normal"/>
        <w:spacing w:lineRule="auto" w:line="36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 xml:space="preserve">8.1. Recebida a Nota Fiscal ou documento de cobrança equivalente, correrá o prazo de </w:t>
      </w:r>
      <w:r>
        <w:rPr>
          <w:rFonts w:eastAsia="Times New Roman" w:cs="Times New Roman" w:ascii="Verdana" w:hAnsi="Verdana"/>
          <w:b w:val="false"/>
          <w:bCs w:val="false"/>
          <w:sz w:val="20"/>
          <w:szCs w:val="20"/>
          <w:lang w:eastAsia="en-US"/>
        </w:rPr>
        <w:t>(30) trinta</w:t>
      </w: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 xml:space="preserve"> dias úteis para fins de liquidação, na forma desta seção, prorrogáveis por igual  período.</w:t>
      </w:r>
    </w:p>
    <w:p>
      <w:pPr>
        <w:pStyle w:val="Normal"/>
        <w:spacing w:lineRule="auto" w:line="360" w:before="0" w:after="0"/>
        <w:ind w:hanging="0" w:left="-22" w:right="0"/>
        <w:jc w:val="both"/>
        <w:rPr/>
      </w:pPr>
      <w:r>
        <w:rPr>
          <w:rFonts w:ascii="Verdana" w:hAnsi="Verdana"/>
          <w:b w:val="false"/>
          <w:bCs w:val="false"/>
          <w:sz w:val="20"/>
          <w:szCs w:val="20"/>
        </w:rPr>
        <w:t>8.2. O prazo de que trata o item anterior será reduzido à metade, mantendo-se a possibilidade de prorrogação, no caso de contratações decorrentes de despesas cujos valores não ultrapassem o limite de que trata o inciso II do art. 75 da Lei nº 14.133, de 2021</w:t>
      </w:r>
      <w:r>
        <w:rPr>
          <w:rFonts w:ascii="Verdana" w:hAnsi="Verdana"/>
          <w:b w:val="false"/>
          <w:bCs w:val="false"/>
          <w:color w:val="000000"/>
          <w:sz w:val="20"/>
          <w:szCs w:val="20"/>
          <w:u w:val="none"/>
        </w:rPr>
        <w:t>.</w:t>
      </w:r>
    </w:p>
    <w:p>
      <w:pPr>
        <w:pStyle w:val="Normal"/>
        <w:spacing w:lineRule="auto" w:line="360"/>
        <w:ind w:hanging="0" w:left="-2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8.3. Para fins de liquidação, o setor competente deverá verificar se a nota fiscal ou instrumento de cobrança equivalente apresentado expressa os elementos necessários e essenciais do documento, tais como: </w:t>
      </w:r>
    </w:p>
    <w:p>
      <w:pPr>
        <w:pStyle w:val="Normal"/>
        <w:tabs>
          <w:tab w:val="clear" w:pos="708"/>
          <w:tab w:val="left" w:pos="563" w:leader="none"/>
        </w:tabs>
        <w:spacing w:lineRule="auto" w:line="360"/>
        <w:ind w:hanging="0" w:left="43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- O prazo de validade;</w:t>
      </w:r>
    </w:p>
    <w:p>
      <w:pPr>
        <w:pStyle w:val="Normal"/>
        <w:tabs>
          <w:tab w:val="clear" w:pos="708"/>
          <w:tab w:val="left" w:pos="563" w:leader="none"/>
        </w:tabs>
        <w:spacing w:lineRule="auto" w:line="360"/>
        <w:ind w:hanging="0" w:left="43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- A data da emissão; </w:t>
      </w:r>
    </w:p>
    <w:p>
      <w:pPr>
        <w:pStyle w:val="Normal"/>
        <w:tabs>
          <w:tab w:val="clear" w:pos="708"/>
          <w:tab w:val="left" w:pos="563" w:leader="none"/>
        </w:tabs>
        <w:spacing w:lineRule="auto" w:line="360"/>
        <w:ind w:hanging="0" w:left="43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- Os dados do contrato e do órgão contratante; </w:t>
      </w:r>
    </w:p>
    <w:p>
      <w:pPr>
        <w:pStyle w:val="Normal"/>
        <w:tabs>
          <w:tab w:val="clear" w:pos="708"/>
          <w:tab w:val="left" w:pos="563" w:leader="none"/>
        </w:tabs>
        <w:spacing w:lineRule="auto" w:line="360"/>
        <w:ind w:hanging="0" w:left="43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- O período respectivo de execução do contrato; </w:t>
      </w:r>
    </w:p>
    <w:p>
      <w:pPr>
        <w:pStyle w:val="Normal"/>
        <w:tabs>
          <w:tab w:val="clear" w:pos="708"/>
          <w:tab w:val="left" w:pos="563" w:leader="none"/>
        </w:tabs>
        <w:spacing w:lineRule="auto" w:line="360"/>
        <w:ind w:hanging="0" w:left="43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- O valor a pagar; e </w:t>
      </w:r>
    </w:p>
    <w:p>
      <w:pPr>
        <w:pStyle w:val="Normal"/>
        <w:tabs>
          <w:tab w:val="clear" w:pos="708"/>
          <w:tab w:val="left" w:pos="563" w:leader="none"/>
        </w:tabs>
        <w:spacing w:lineRule="auto" w:line="360"/>
        <w:ind w:hanging="0" w:left="43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- Eventual destaque do valor de retenções tributárias cabíveis.</w:t>
      </w:r>
    </w:p>
    <w:p>
      <w:pPr>
        <w:pStyle w:val="Normal"/>
        <w:tabs>
          <w:tab w:val="clear" w:pos="708"/>
          <w:tab w:val="left" w:pos="563" w:leader="none"/>
        </w:tabs>
        <w:spacing w:lineRule="auto" w:line="360"/>
        <w:ind w:hanging="0" w:left="-2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8.4.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>
      <w:pPr>
        <w:pStyle w:val="Normal"/>
        <w:tabs>
          <w:tab w:val="clear" w:pos="708"/>
          <w:tab w:val="left" w:pos="109" w:leader="none"/>
        </w:tabs>
        <w:spacing w:lineRule="auto" w:line="360"/>
        <w:ind w:hanging="0" w:left="-22" w:right="0"/>
        <w:jc w:val="both"/>
        <w:rPr/>
      </w:pPr>
      <w:r>
        <w:rPr>
          <w:rFonts w:ascii="Verdana" w:hAnsi="Verdana"/>
          <w:b w:val="false"/>
          <w:bCs w:val="false"/>
          <w:sz w:val="20"/>
          <w:szCs w:val="20"/>
        </w:rPr>
        <w:t>8.5. A</w:t>
      </w: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 xml:space="preserve"> nota fiscal ou instrumento de cobrança equivalente deverá ser obrigatoriamente acompanhado da comprovação da regularidade fiscal</w:t>
      </w:r>
      <w:r>
        <w:rPr>
          <w:rStyle w:val="Hyperlink"/>
          <w:rFonts w:ascii="Verdana" w:hAnsi="Verdana"/>
          <w:b w:val="false"/>
          <w:bCs w:val="false"/>
          <w:sz w:val="20"/>
          <w:szCs w:val="20"/>
          <w:lang w:eastAsia="en-US"/>
        </w:rPr>
        <w:t>.</w:t>
      </w:r>
    </w:p>
    <w:p>
      <w:pPr>
        <w:pStyle w:val="Normal"/>
        <w:spacing w:lineRule="auto" w:line="360"/>
        <w:ind w:hanging="0" w:left="-2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8.6. O pagamento será efetuado no prazo de até 30 (trinta) dias úteis contados da finalização da liquidação da despesa.</w:t>
      </w:r>
    </w:p>
    <w:p>
      <w:pPr>
        <w:pStyle w:val="Normal"/>
        <w:spacing w:lineRule="auto" w:line="360"/>
        <w:ind w:hanging="0" w:left="-2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8.7. O pagamento será realizado por meio de ordem bancária, para crédito em banco, agência e conta corrente indicados pelo contratado.</w:t>
      </w:r>
    </w:p>
    <w:p>
      <w:pPr>
        <w:pStyle w:val="Normal"/>
        <w:spacing w:lineRule="auto" w:line="360"/>
        <w:ind w:hanging="0" w:left="-2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8.8. Será considerada data do pagamento o dia em que constar como emitida a ordem bancária para pagamento.</w:t>
      </w:r>
    </w:p>
    <w:p>
      <w:pPr>
        <w:pStyle w:val="Normal"/>
        <w:spacing w:lineRule="auto" w:line="360"/>
        <w:ind w:hanging="0" w:left="-79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89. Quando do pagamento, será efetuada a retenção tributária prevista na legislação aplicável.</w:t>
      </w:r>
    </w:p>
    <w:p>
      <w:pPr>
        <w:pStyle w:val="Normal"/>
        <w:spacing w:lineRule="auto" w:line="360"/>
        <w:ind w:hanging="0" w:left="-79" w:right="0"/>
        <w:jc w:val="both"/>
        <w:rPr/>
      </w:pP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 xml:space="preserve">8.10. O contratado regularmente optante pelo Simples Nacional, nos termos da </w:t>
      </w:r>
      <w:hyperlink r:id="rId3">
        <w:r>
          <w:rPr>
            <w:rStyle w:val="ListLabel21"/>
            <w:rFonts w:ascii="Verdana" w:hAnsi="Verdana"/>
            <w:b w:val="false"/>
            <w:bCs w:val="false"/>
            <w:sz w:val="20"/>
            <w:szCs w:val="20"/>
            <w:u w:val="none"/>
            <w:lang w:eastAsia="en-US"/>
          </w:rPr>
          <w:t>Lei Complementar nº 123, de 2006</w:t>
        </w:r>
      </w:hyperlink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>
      <w:pPr>
        <w:pStyle w:val="Normal"/>
        <w:spacing w:lineRule="auto" w:line="360"/>
        <w:ind w:hanging="0" w:left="-79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>8.11. Conforme Decreto Municipal nº 3.86/2023 será retido o Imposto de Renda na Fonte nos pagamentos efetuados por Órgãos, Autarquias e Fundações instituídas e mantidas pelo Município de São Gabriel da Palha a pessoas jurídicas pelo fornecimento de bens e prestação de serviços.</w:t>
      </w:r>
    </w:p>
    <w:p>
      <w:pPr>
        <w:pStyle w:val="Normal"/>
        <w:spacing w:lineRule="auto" w:line="360"/>
        <w:ind w:hanging="0" w:left="-79" w:right="0"/>
        <w:jc w:val="both"/>
        <w:rPr>
          <w:rFonts w:ascii="Verdana" w:hAnsi="Verdana"/>
          <w:sz w:val="20"/>
          <w:szCs w:val="20"/>
        </w:rPr>
      </w:pPr>
      <w:r>
        <w:rPr>
          <w:rFonts w:eastAsia="Calibri" w:cs="Calibri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 xml:space="preserve">8.11. </w:t>
      </w: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>Após o prazo acima referenciado, será paga multa financeira nos seguintes termos: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360"/>
        <w:ind w:hanging="0" w:left="0" w:right="0"/>
        <w:jc w:val="center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shd w:fill="auto" w:val="clear"/>
        </w:rPr>
        <w:t xml:space="preserve">VM = VF </w:t>
      </w:r>
      <w:r>
        <w:rPr>
          <w:rFonts w:cs="Verdana" w:ascii="Verdana" w:hAnsi="Verdana"/>
          <w:b w:val="false"/>
          <w:bCs w:val="false"/>
          <w:sz w:val="20"/>
          <w:szCs w:val="20"/>
          <w:shd w:fill="auto" w:val="clear"/>
          <w:vertAlign w:val="subscript"/>
        </w:rPr>
        <w:t>*</w:t>
      </w:r>
      <w:r>
        <w:rPr>
          <w:rFonts w:cs="Verdana" w:ascii="Verdana" w:hAnsi="Verdana"/>
          <w:b w:val="false"/>
          <w:bCs w:val="false"/>
          <w:sz w:val="20"/>
          <w:szCs w:val="20"/>
          <w:shd w:fill="auto" w:val="clear"/>
        </w:rPr>
        <w:t xml:space="preserve"> </w:t>
      </w:r>
      <w:r>
        <w:rPr>
          <w:rFonts w:cs="Verdana" w:ascii="Verdana" w:hAnsi="Verdana"/>
          <w:b w:val="false"/>
          <w:bCs w:val="false"/>
          <w:sz w:val="20"/>
          <w:szCs w:val="20"/>
          <w:u w:val="single"/>
          <w:shd w:fill="auto" w:val="clear"/>
        </w:rPr>
        <w:t>0,33</w:t>
      </w:r>
      <w:r>
        <w:rPr>
          <w:rFonts w:cs="Verdana" w:ascii="Verdana" w:hAnsi="Verdana"/>
          <w:b w:val="false"/>
          <w:bCs w:val="false"/>
          <w:sz w:val="20"/>
          <w:szCs w:val="20"/>
          <w:shd w:fill="auto" w:val="clear"/>
        </w:rPr>
        <w:t xml:space="preserve"> </w:t>
      </w:r>
      <w:r>
        <w:rPr>
          <w:rFonts w:cs="Verdana" w:ascii="Verdana" w:hAnsi="Verdana"/>
          <w:b w:val="false"/>
          <w:bCs w:val="false"/>
          <w:sz w:val="20"/>
          <w:szCs w:val="20"/>
          <w:shd w:fill="auto" w:val="clear"/>
          <w:vertAlign w:val="subscript"/>
        </w:rPr>
        <w:t>*</w:t>
      </w:r>
      <w:r>
        <w:rPr>
          <w:rFonts w:cs="Verdana" w:ascii="Verdana" w:hAnsi="Verdana"/>
          <w:b w:val="false"/>
          <w:bCs w:val="false"/>
          <w:sz w:val="20"/>
          <w:szCs w:val="20"/>
          <w:shd w:fill="auto" w:val="clear"/>
        </w:rPr>
        <w:t xml:space="preserve"> ND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360"/>
        <w:ind w:hanging="0" w:left="0" w:right="0"/>
        <w:jc w:val="center"/>
        <w:rPr>
          <w:rFonts w:ascii="Verdana" w:hAnsi="Verdana"/>
          <w:sz w:val="20"/>
          <w:szCs w:val="20"/>
        </w:rPr>
      </w:pPr>
      <w:r>
        <w:rPr>
          <w:rFonts w:eastAsia="Verdana" w:cs="Verdana" w:ascii="Verdana" w:hAnsi="Verdana"/>
          <w:b w:val="false"/>
          <w:bCs w:val="false"/>
          <w:sz w:val="20"/>
          <w:szCs w:val="20"/>
          <w:shd w:fill="auto" w:val="clear"/>
        </w:rPr>
        <w:t xml:space="preserve">        </w:t>
      </w:r>
      <w:r>
        <w:rPr>
          <w:rFonts w:cs="Verdana" w:ascii="Verdana" w:hAnsi="Verdana"/>
          <w:b w:val="false"/>
          <w:bCs w:val="false"/>
          <w:sz w:val="20"/>
          <w:szCs w:val="20"/>
          <w:shd w:fill="auto" w:val="clear"/>
        </w:rPr>
        <w:t>100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36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;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Onde: 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36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;Arial" w:ascii="Verdana" w:hAnsi="Verdana"/>
          <w:color w:val="000000"/>
          <w:sz w:val="20"/>
          <w:szCs w:val="20"/>
          <w:shd w:fill="auto" w:val="clear"/>
        </w:rPr>
        <w:t xml:space="preserve">VM = Valor da Multa Financeira; 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36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;Arial" w:ascii="Verdana" w:hAnsi="Verdana"/>
          <w:color w:val="000000"/>
          <w:sz w:val="20"/>
          <w:szCs w:val="20"/>
          <w:shd w:fill="auto" w:val="clear"/>
        </w:rPr>
        <w:t xml:space="preserve">VF = Valor da Nota Fiscal; 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360"/>
        <w:ind w:hanging="0" w:left="0" w:right="0"/>
        <w:rPr>
          <w:rFonts w:ascii="Verdana" w:hAnsi="Verdana"/>
          <w:sz w:val="20"/>
          <w:szCs w:val="20"/>
        </w:rPr>
      </w:pPr>
      <w:r>
        <w:rPr>
          <w:rFonts w:eastAsia="Times New Roman" w:cs="Arial;Arial" w:ascii="Verdana" w:hAnsi="Verdana"/>
          <w:color w:val="000000"/>
          <w:sz w:val="20"/>
          <w:szCs w:val="20"/>
          <w:shd w:fill="auto" w:val="clear"/>
        </w:rPr>
        <w:t>ND = Número de dias em atraso.</w:t>
      </w:r>
    </w:p>
    <w:p>
      <w:pPr>
        <w:pStyle w:val="Normal"/>
        <w:suppressAutoHyphens w:val="false"/>
        <w:spacing w:lineRule="auto" w:line="36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;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 xml:space="preserve">8.12. </w:t>
      </w:r>
      <w:r>
        <w:rPr>
          <w:rFonts w:cs="Arial;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A NOTA FISCAL ELETRÔNICA deverá conter o mesmo CNPJ e razão social apresentados quando na proposta, assim como, o número da contratação, o (s) objeto (s), os valores unitários e totais.</w:t>
      </w:r>
    </w:p>
    <w:p>
      <w:pPr>
        <w:pStyle w:val="Normal"/>
        <w:suppressAutoHyphens w:val="false"/>
        <w:spacing w:lineRule="auto" w:line="36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;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>8.13.</w:t>
      </w:r>
      <w:r>
        <w:rPr>
          <w:rFonts w:cs="Arial;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 Qualquer alteração feita no contrato social, ato constitutivo ou estatuto deverá ser comunicado ao CONTRATANTE, mediante documentação própria, para apreciação da autoridade competente. </w:t>
      </w:r>
    </w:p>
    <w:p>
      <w:pPr>
        <w:pStyle w:val="Normal"/>
        <w:suppressAutoHyphens w:val="false"/>
        <w:spacing w:lineRule="auto" w:line="36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;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 xml:space="preserve">8.14. </w:t>
      </w:r>
      <w:r>
        <w:rPr>
          <w:rFonts w:cs="Arial;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O CONTRATANTE poderá deduzir do pagamento importâncias que a qualquer título lhe forem devidos pela empresa CONTRATADA, em decorrência de descumprimento de s</w:t>
      </w:r>
      <w:r>
        <w:rPr>
          <w:rFonts w:cs="Arial;Arial" w:ascii="Verdana" w:hAnsi="Verdana"/>
          <w:color w:val="000000"/>
          <w:sz w:val="20"/>
          <w:szCs w:val="20"/>
          <w:shd w:fill="auto" w:val="clear"/>
        </w:rPr>
        <w:t>uas obrigações.</w:t>
      </w:r>
    </w:p>
    <w:p>
      <w:pPr>
        <w:pStyle w:val="Default"/>
        <w:spacing w:lineRule="auto" w:line="360"/>
        <w:ind w:hanging="0" w:left="-22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;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8.15.</w:t>
      </w:r>
      <w:r>
        <w:rPr>
          <w:rFonts w:eastAsia="Times New Roman" w:cs="Arial;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 </w:t>
      </w:r>
      <w:r>
        <w:rPr>
          <w:rFonts w:cs="Arial;Arial" w:ascii="Verdana" w:hAnsi="Verdana"/>
          <w:sz w:val="20"/>
          <w:szCs w:val="20"/>
          <w:shd w:fill="auto" w:val="clear"/>
          <w:lang w:eastAsia="en-US"/>
        </w:rPr>
        <w:t xml:space="preserve">Para a efetivação do pagamento, a CONTRATADA deverá manter as mesmas </w:t>
      </w:r>
      <w:r>
        <w:rPr>
          <w:rFonts w:cs="Arial;Arial" w:ascii="Verdana" w:hAnsi="Verdana"/>
          <w:sz w:val="20"/>
          <w:szCs w:val="20"/>
          <w:shd w:fill="auto" w:val="clear"/>
          <w:lang w:eastAsia="pt-BR"/>
        </w:rPr>
        <w:t>condições relativas à proposta de preço e a habilitação;</w:t>
      </w:r>
    </w:p>
    <w:p>
      <w:pPr>
        <w:pStyle w:val="Normal"/>
        <w:spacing w:lineRule="auto" w:line="240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iCs/>
          <w:sz w:val="20"/>
          <w:szCs w:val="20"/>
          <w:shd w:fill="auto" w:val="clear"/>
        </w:rPr>
        <w:t>9. DAS SANÇÕES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9.1. Comete infração administrativa o fornecedor/prestador de serviço que cometer quaisquer das infrações previstas no art. 155 da Lei nº 14.133, de 2021, quais sejam: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9.1.1. Dar causa à inexecução parcial do contrato.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9.1.2. Dar causa à inexecução parcial que cause grave dano à Administração, ao funcionamento dos serviços públicos ou ao interesse coletivo.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9.1.3. Dar causa à inexecução total;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9.1.4. Deixar de entregar a documentação exigida para o certame.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9.1.5. Não manter a proposta, salvo em decorrência de fato superveniente devidamente justificado.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 xml:space="preserve">9.1.6. Não celebrar o contrato ou não entregar a documentação exigida para a contratação, quando convocado dentro do prazo de validade de sua proposta. 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9.1.7. Ensejar o retardamento da execução ou da entrega do objeto sem motivo justificado,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9.1.8. Apresentar declaração ou documentação falsa exigida para o certame ou prestar declaração falsa durante a dispensa eletrônica ou a execução do objeto.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9.1.9. Fraudar a dispensa eletrônica ou praticar ato fraudulento na execução do objeto.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9.1.10. Comportar-se de modo inidôneo ou cometer fraude de qualquer natureza.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9.1.11. Praticar atos ilícitos com vistas a frustrar os objetivos deste certame.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9.1.12. Praticar ato lesivo previsto no art. 5º da Lei nº 12.846, de 1º de agosto de 2013.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9.2. O fornecedor que cometer qualquer das infrações discriminadas nos subitens anteriores ficará sujeito, sem prejuízo da responsabilidade civil e criminal, às seguintes sanções: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ab/>
        <w:t>a) Advertência pela falta do subitem 9.1.1 deste Termo de Referência, quando não se justificar a imposição de penalidade mais grave.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left="-57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ab/>
        <w:tab/>
        <w:t xml:space="preserve">b) Multa, calculada na forma do edital, com base no total do valor da contratação realizada de forma direta e será aplicada ao responsável por qualquer das infrações administrativas previstas no item 9.1 deste Termo de Referência, no percentual de 10% (dez por cento), na hipótese de cometimento das infrações previstas nos itens 9.1.1 a 9.1.7 e 20% (vinte por cento), se cometidas infrações previstas nos itens 9.1.8 a 9.1.12; 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ab/>
        <w:tab/>
        <w:t>b.1) O valor da multa poderá ser descontado das faturas devidas à CONTRATADA;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ab/>
        <w:tab/>
        <w:t xml:space="preserve">b.2) A multa pode ser aplicada isoladamente ou juntamente com as penalidades definidas nos itens “c” e “d” abaixo: 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ab/>
        <w:t>c) Impedimento de licitar e contratar no âmbito da Administração Pública direta e indireta do ente federativo que tiver aplicado a sanção, pelo prazo máximo de 03 (três) anos, nos casos dos subitens 9.1.2 a 9.1.7 deste Termo de Referência, quando não se justificar a imposição de penalidade mais grave.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ab/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9.1.2 a 9.1.12, deste Termo de Referência.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9.3. Na aplicação das sanções serão considerados: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9.3.1. A natureza e a gravidade da infração cometida.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9.3.2. As peculiaridades do caso concreto.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9.3.3. As circunstâncias agravantes ou atenuantes.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9.3.4. Os danos que dela provierem para a Administração Pública.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9.3.5. A implantação ou o aperfeiçoamento de programa de integridade, conforme normas e orientações dos órgãos de controle.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>9.5.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ind w:hanging="0" w:left="-79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lang w:eastAsia="en-US"/>
        </w:rPr>
        <w:t>10. DA HABILITAÇÃO</w:t>
      </w:r>
    </w:p>
    <w:p>
      <w:pPr>
        <w:pStyle w:val="Normal"/>
        <w:spacing w:lineRule="auto" w:line="360" w:before="114" w:after="114"/>
        <w:ind w:hanging="0" w:left="-79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10.1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a) SICAF;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/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b) Cadastro Nacional de Empresas Inidôneas e Suspensas – CEIS, mantido pela Controladoria-Geral da União (</w:t>
      </w:r>
      <w:hyperlink r:id="rId4">
        <w:r>
          <w:rPr>
            <w:rStyle w:val="ListLabel22"/>
            <w:rFonts w:cs="Verdana" w:ascii="Verdana" w:hAnsi="Verdana"/>
            <w:b w:val="false"/>
            <w:bCs w:val="false"/>
            <w:color w:val="000080"/>
            <w:sz w:val="20"/>
            <w:szCs w:val="20"/>
            <w:u w:val="single"/>
            <w:lang w:eastAsia="ar-SA"/>
          </w:rPr>
          <w:t>www.portaldatransparencia.gov.br/ceis</w:t>
        </w:r>
      </w:hyperlink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);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/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5">
        <w:r>
          <w:rPr>
            <w:rStyle w:val="ListLabel22"/>
            <w:rFonts w:cs="Verdana" w:ascii="Verdana" w:hAnsi="Verdana"/>
            <w:b w:val="false"/>
            <w:bCs w:val="false"/>
            <w:color w:val="000080"/>
            <w:sz w:val="20"/>
            <w:szCs w:val="20"/>
            <w:u w:val="single"/>
            <w:lang w:eastAsia="ar-SA"/>
          </w:rPr>
          <w:t>www.cnj.jus.br/improbidade_adm/consultar_requerido.php</w:t>
        </w:r>
      </w:hyperlink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).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>
      <w:pPr>
        <w:pStyle w:val="Normal"/>
        <w:spacing w:lineRule="auto" w:line="360" w:before="57" w:after="57"/>
        <w:jc w:val="both"/>
        <w:rPr/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e) Cadastro de empresas inid</w:t>
      </w:r>
      <w:r>
        <w:rPr>
          <w:rFonts w:cs="Verdana" w:ascii="Verdana" w:hAnsi="Verdana"/>
          <w:b w:val="false"/>
          <w:bCs w:val="false"/>
          <w:sz w:val="20"/>
          <w:szCs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6">
        <w:r>
          <w:rPr>
            <w:rStyle w:val="ListLabel23"/>
            <w:rFonts w:cs="Verdana" w:ascii="Verdana" w:hAnsi="Verdana"/>
            <w:b w:val="false"/>
            <w:bCs w:val="false"/>
            <w:color w:val="000080"/>
            <w:sz w:val="20"/>
            <w:szCs w:val="20"/>
            <w:u w:val="single"/>
          </w:rPr>
          <w:t>https://www.tcees.tc.br/portal-da-transparencia/consultas/lista-de</w:t>
        </w:r>
      </w:hyperlink>
      <w:r>
        <w:rPr>
          <w:rFonts w:cs="Verdana" w:ascii="Verdana" w:hAnsi="Verdana"/>
          <w:b w:val="false"/>
          <w:bCs w:val="false"/>
          <w:sz w:val="20"/>
          <w:szCs w:val="20"/>
        </w:rPr>
        <w:t xml:space="preserve"> responsáveis/proibidos-de-contratar/).</w:t>
      </w:r>
    </w:p>
    <w:p>
      <w:pPr>
        <w:pStyle w:val="Normal"/>
        <w:spacing w:lineRule="auto" w:line="360" w:before="57" w:after="57"/>
        <w:jc w:val="both"/>
        <w:rPr/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10.1.1. Para a consulta de licitantes pessoa jurídica poderá haver a substituição das consultas das alíneas “b”, “c” e “d” acima pela Consulta Consolidada de Pessoa Jurídica do TCU (</w:t>
      </w:r>
      <w:hyperlink r:id="rId7">
        <w:r>
          <w:rPr>
            <w:rStyle w:val="ListLabel22"/>
            <w:rFonts w:cs="Verdana" w:ascii="Verdana" w:hAnsi="Verdana"/>
            <w:b w:val="false"/>
            <w:bCs w:val="false"/>
            <w:color w:val="000080"/>
            <w:sz w:val="20"/>
            <w:szCs w:val="20"/>
            <w:u w:val="single"/>
            <w:lang w:eastAsia="ar-SA"/>
          </w:rPr>
          <w:t>https://certidoesapf.apps.tcu.gov.br/</w:t>
        </w:r>
      </w:hyperlink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);</w:t>
      </w:r>
    </w:p>
    <w:p>
      <w:pPr>
        <w:pStyle w:val="Normal"/>
        <w:spacing w:lineRule="auto" w:line="360" w:before="57" w:after="57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>
      <w:pPr>
        <w:pStyle w:val="Normal"/>
        <w:spacing w:lineRule="auto" w:line="360" w:before="57" w:after="57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10.1.2.2. A tentativa de burla será verificada por meio dos vínculos societários, linhas de fornecimento similares, dentre outros.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102.1.2.3. O licitante será convocado para manifestação previamente à sua desclassificação.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10.1.3 .Constatada a existência de sanção, o Pregoeiro reputará o licitante inabilitado, por falta de condição de participação.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>
      <w:pPr>
        <w:pStyle w:val="ListParagraph"/>
        <w:tabs>
          <w:tab w:val="clear" w:pos="708"/>
          <w:tab w:val="left" w:pos="567" w:leader="none"/>
        </w:tabs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 xml:space="preserve">10.2 </w:t>
      </w: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 xml:space="preserve">Caso atendidas as condições de participação, </w:t>
      </w:r>
      <w:r>
        <w:rPr>
          <w:rFonts w:cs="Verdana" w:ascii="Verdana" w:hAnsi="Verdana"/>
          <w:b w:val="false"/>
          <w:bCs w:val="false"/>
          <w:sz w:val="20"/>
          <w:szCs w:val="20"/>
        </w:rPr>
        <w:t>a habilitação dos licitantes será verificada por meio do SICAF, nos documentos por ele abrangidos</w:t>
      </w: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10.2.1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10.2.2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10.2.3 O descu</w:t>
      </w:r>
      <w:r>
        <w:rPr>
          <w:rFonts w:cs="Verdana" w:ascii="Verdana" w:hAnsi="Verdana"/>
          <w:color w:val="000000"/>
          <w:sz w:val="20"/>
          <w:szCs w:val="20"/>
        </w:rPr>
        <w:t>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10.3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>
      <w:pPr>
        <w:pStyle w:val="PADRO"/>
        <w:widowControl/>
        <w:shd w:fill="FFFFFF"/>
        <w:tabs>
          <w:tab w:val="clear" w:pos="708"/>
          <w:tab w:val="left" w:pos="567" w:leader="none"/>
        </w:tabs>
        <w:spacing w:lineRule="auto" w:line="360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10.4 Somente haverá a necessidade de comprovação do preenchimento de requisitos mediante apresentação dos documentos originais não-digitais quando houver dúvida em relação à integridade do documento digital.</w:t>
      </w:r>
    </w:p>
    <w:p>
      <w:pPr>
        <w:pStyle w:val="PADRO"/>
        <w:widowControl/>
        <w:shd w:fill="FFFFFF"/>
        <w:tabs>
          <w:tab w:val="clear" w:pos="708"/>
          <w:tab w:val="left" w:pos="567" w:leader="none"/>
        </w:tabs>
        <w:spacing w:lineRule="auto" w:line="360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10.5 Não serão aceitos documentos de habilitação com indicação de CNPJ/CPF diferentes, salvo aqueles legalmente permitidos.</w:t>
      </w:r>
    </w:p>
    <w:p>
      <w:pPr>
        <w:pStyle w:val="PADRO"/>
        <w:widowControl/>
        <w:shd w:fill="FFFFFF"/>
        <w:tabs>
          <w:tab w:val="clear" w:pos="708"/>
          <w:tab w:val="left" w:pos="567" w:leader="none"/>
        </w:tabs>
        <w:spacing w:lineRule="auto" w:line="360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10.6 Serão aceitos registros de CNPJ de licitante matriz e filial com diferenças de números de documentos pertinentes ao CND e ao CRF/FGTS, quando for comprovada a centralização do recolhimento dessas contribuições.</w:t>
      </w:r>
    </w:p>
    <w:p>
      <w:pPr>
        <w:pStyle w:val="PADRO"/>
        <w:widowControl/>
        <w:shd w:fill="FFFFFF"/>
        <w:tabs>
          <w:tab w:val="clear" w:pos="708"/>
          <w:tab w:val="left" w:pos="567" w:leader="none"/>
        </w:tabs>
        <w:spacing w:lineRule="auto" w:line="360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10.7</w:t>
      </w:r>
      <w:r>
        <w:rPr>
          <w:rFonts w:cs="Verdana" w:ascii="Verdana" w:hAnsi="Verdana"/>
          <w:color w:val="000000"/>
          <w:sz w:val="20"/>
          <w:szCs w:val="20"/>
        </w:rPr>
        <w:t xml:space="preserve"> Ressalvado o disposto no item 5.3, os licitantes deverão encaminhar, nos termos deste Edital, a documentação relacionada nos itens a seguir, para fins de habilitação:</w:t>
      </w:r>
    </w:p>
    <w:p>
      <w:pPr>
        <w:pStyle w:val="ListParagraph"/>
        <w:spacing w:lineRule="auto" w:line="360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/>
          <w:bCs/>
          <w:color w:val="000000"/>
          <w:sz w:val="20"/>
          <w:szCs w:val="20"/>
        </w:rPr>
        <w:t>10.8 Habilitação jurídica</w:t>
      </w:r>
    </w:p>
    <w:p>
      <w:pPr>
        <w:pStyle w:val="ListParagraph"/>
        <w:spacing w:lineRule="auto" w:line="360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10.8.1 No caso de empresário individual: inscrição no Registro Público de Empresas Mercantis, a cargo da Junta Comercial da respectiva sede;</w:t>
      </w:r>
    </w:p>
    <w:p>
      <w:pPr>
        <w:pStyle w:val="ListParagraph"/>
        <w:spacing w:lineRule="auto" w:line="360" w:before="57" w:after="57"/>
        <w:ind w:hanging="0" w:left="0" w:right="0"/>
        <w:contextualSpacing w:val="false"/>
        <w:jc w:val="both"/>
        <w:rPr/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 xml:space="preserve">10.8.2 Em se tratando de microempreendedor individual – MEI: Certificado da Condição de Microempreendedor Individual – CCMEI, cuja aceitação ficará condicionada à verificação da autenticidade no sítio </w:t>
      </w:r>
      <w:hyperlink r:id="rId8">
        <w:r>
          <w:rPr>
            <w:rStyle w:val="ListLabel24"/>
            <w:rFonts w:cs="Verdana" w:ascii="Verdana" w:hAnsi="Verdana"/>
            <w:b w:val="false"/>
            <w:bCs w:val="false"/>
            <w:color w:val="000000"/>
            <w:sz w:val="20"/>
            <w:szCs w:val="20"/>
            <w:u w:val="single"/>
          </w:rPr>
          <w:t>www.portaldoempreendedor.gov.br</w:t>
        </w:r>
      </w:hyperlink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;</w:t>
      </w:r>
    </w:p>
    <w:p>
      <w:pPr>
        <w:pStyle w:val="ListParagraph"/>
        <w:spacing w:lineRule="auto" w:line="360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10.8.3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10.8.4 Inscrição no Registro Público de Empresas Mercantis onde opera, com averbação no Registro onde tem sede a matriz, no caso de ser o participante sucursal, filial ou agência;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10.8.5 No caso de sociedade simples: inscrição do ato constitutivo no Registro Civil das Pessoas Jurídicas do local de sua sede, acompanhada de prova da indicação dos seus administradores;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10.8.6</w:t>
      </w:r>
      <w:r>
        <w:rPr>
          <w:rFonts w:cs="Verdana" w:ascii="Verdana" w:hAnsi="Verdana"/>
          <w:b/>
          <w:bCs/>
          <w:color w:val="000000"/>
          <w:sz w:val="20"/>
          <w:szCs w:val="20"/>
        </w:rPr>
        <w:t xml:space="preserve"> </w:t>
      </w:r>
      <w:r>
        <w:rPr>
          <w:rFonts w:cs="Verdana" w:ascii="Verdana" w:hAnsi="Verdana"/>
          <w:bCs/>
          <w:color w:val="000000"/>
          <w:sz w:val="20"/>
          <w:szCs w:val="20"/>
        </w:rPr>
        <w:t>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10.8.7 No caso de empresa ou sociedade estrangeira em funcionamento no País: decreto de autorização;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10.8.8 Os documentos acima deverão estar acompanhados de todas as alterações ou da c</w:t>
      </w:r>
      <w:r>
        <w:rPr>
          <w:rFonts w:cs="Verdana" w:ascii="Verdana" w:hAnsi="Verdana"/>
          <w:bCs/>
          <w:color w:val="000000"/>
          <w:sz w:val="20"/>
          <w:szCs w:val="20"/>
        </w:rPr>
        <w:t>onsolidação respectiva;</w:t>
      </w:r>
    </w:p>
    <w:p>
      <w:pPr>
        <w:pStyle w:val="ListParagraph"/>
        <w:spacing w:lineRule="auto" w:line="276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/>
          <w:bCs/>
          <w:color w:val="000000"/>
          <w:sz w:val="20"/>
          <w:szCs w:val="20"/>
        </w:rPr>
        <w:t xml:space="preserve">10.9. Regularidade fiscal </w:t>
      </w:r>
      <w:r>
        <w:rPr>
          <w:rFonts w:cs="Verdana" w:ascii="Verdana" w:hAnsi="Verdana"/>
          <w:b/>
          <w:bCs/>
          <w:sz w:val="20"/>
          <w:szCs w:val="20"/>
        </w:rPr>
        <w:t>e trabalhista</w:t>
      </w:r>
    </w:p>
    <w:p>
      <w:pPr>
        <w:pStyle w:val="Normal"/>
        <w:spacing w:lineRule="auto" w:line="360" w:before="57" w:after="57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en-US"/>
        </w:rPr>
        <w:t>10.9.1 Prova de inscrição no Cadastro Nacional de Pessoas Jurídicas ou no Cadastro de Pessoas Físicas, conforme o caso;</w:t>
      </w:r>
    </w:p>
    <w:p>
      <w:pPr>
        <w:pStyle w:val="Normal"/>
        <w:spacing w:lineRule="auto" w:line="360" w:before="57" w:after="57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en-US"/>
        </w:rPr>
        <w:t>10.9.2 Certidão de regularidade junto à fazenda pública Municipal, do domicílio do Licitante;</w:t>
      </w:r>
    </w:p>
    <w:p>
      <w:pPr>
        <w:pStyle w:val="Normal"/>
        <w:spacing w:lineRule="auto" w:line="360" w:before="57" w:after="57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10.9.3 Certidão de regularidade junto à fazenda pública Estadual, do domicílio do Licitante;</w:t>
      </w:r>
    </w:p>
    <w:p>
      <w:pPr>
        <w:pStyle w:val="Normal"/>
        <w:spacing w:lineRule="auto" w:line="360" w:before="57" w:after="57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10.9.4 Certidão conjunta de regularidade junto à fazenda pública Federal, (Quitação de tributos e contribuições Federais e Quanto à dívida ativa da União) e junto ao INSS, conforme Portaria MF nº 358 de 05/09/2014;</w:t>
      </w:r>
    </w:p>
    <w:p>
      <w:pPr>
        <w:pStyle w:val="Normal"/>
        <w:spacing w:lineRule="auto" w:line="360" w:before="57" w:after="57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10.9.5 Certidão de regularidade junto ao FGTS;</w:t>
      </w:r>
    </w:p>
    <w:p>
      <w:pPr>
        <w:pStyle w:val="Normal"/>
        <w:spacing w:lineRule="auto" w:line="360" w:before="57" w:after="57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en-US"/>
        </w:rPr>
        <w:t>10.9.6 Certidão Negativa De Débitos Trabalhistas (CNDT) de acordo com a Lei 12440 de 7 de julho de 2011.</w:t>
      </w:r>
    </w:p>
    <w:p>
      <w:pPr>
        <w:pStyle w:val="Normal"/>
        <w:spacing w:lineRule="auto" w:line="360" w:before="57" w:after="57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  <w:lang w:eastAsia="en-US" w:bidi="pt-BR"/>
        </w:rPr>
        <w:t xml:space="preserve">10.9.7 Caso o vencedor do menor preço seja qualificado como microempresa ou empresa de pequeno porte </w:t>
      </w:r>
      <w:r>
        <w:rPr>
          <w:rFonts w:cs="Verdana" w:ascii="Verdana" w:hAnsi="Verdana"/>
          <w:b w:val="false"/>
          <w:bCs w:val="false"/>
          <w:color w:val="000000"/>
          <w:sz w:val="20"/>
          <w:szCs w:val="20"/>
          <w:lang w:eastAsia="en-US"/>
        </w:rPr>
        <w:t>deverá apresentar toda a documentação exigida para efeito de compr</w:t>
      </w:r>
      <w:r>
        <w:rPr>
          <w:rFonts w:cs="Verdana" w:ascii="Verdana" w:hAnsi="Verdana"/>
          <w:color w:val="000000"/>
          <w:sz w:val="20"/>
          <w:szCs w:val="20"/>
          <w:lang w:eastAsia="en-US"/>
        </w:rPr>
        <w:t>ovação de regularidade fiscal, mesmo que esta apresente alguma restrição, sob pena de inabilitação.</w:t>
      </w:r>
    </w:p>
    <w:p>
      <w:pPr>
        <w:pStyle w:val="ListParagraph"/>
        <w:spacing w:lineRule="auto" w:line="36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/>
          <w:color w:val="000000"/>
          <w:sz w:val="20"/>
          <w:szCs w:val="20"/>
        </w:rPr>
        <w:t>10.10 Qualificação Econômico-Financeira</w:t>
      </w:r>
    </w:p>
    <w:p>
      <w:pPr>
        <w:pStyle w:val="Normal"/>
        <w:tabs>
          <w:tab w:val="clear" w:pos="708"/>
          <w:tab w:val="left" w:pos="850" w:leader="none"/>
        </w:tabs>
        <w:spacing w:lineRule="auto" w:line="360" w:before="57" w:after="57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  <w:u w:val="none"/>
        </w:rPr>
        <w:t>10.10.1 Certidão negativa de falência, recuperação judicial e extrajudicial, expedida pelo cartório distribuidor da sede da Licitante ou por meio digital, emitida em até 30 (trinta) dias anteriores à data de abertura da  Licitação.</w:t>
      </w:r>
    </w:p>
    <w:p>
      <w:pPr>
        <w:pStyle w:val="Normal"/>
        <w:tabs>
          <w:tab w:val="clear" w:pos="708"/>
          <w:tab w:val="left" w:pos="850" w:leader="none"/>
        </w:tabs>
        <w:spacing w:lineRule="auto" w:line="360" w:before="57" w:after="57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  <w:u w:val="none"/>
        </w:rPr>
        <w:t>10.10.2 Havendo algum prazo de validade estabelecido por cartório na certidão citada na letra anterior, será considerado o prazo constante da certidão para comprovação da sua validade.</w:t>
      </w:r>
    </w:p>
    <w:p>
      <w:pPr>
        <w:pStyle w:val="Normal"/>
        <w:tabs>
          <w:tab w:val="clear" w:pos="708"/>
          <w:tab w:val="left" w:pos="850" w:leader="none"/>
        </w:tabs>
        <w:spacing w:lineRule="auto" w:line="360" w:before="57" w:after="57"/>
        <w:ind w:hanging="0" w:left="-57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u w:val="none"/>
        </w:rPr>
        <w:t>10.10.3 Para a contagem do prazo estabelecido na letra “a” deste capítulo, será contado a partir do primeiro dia que antecede a data da realização desta  licitação.</w:t>
      </w:r>
    </w:p>
    <w:p>
      <w:pPr>
        <w:pStyle w:val="Normal"/>
        <w:tabs>
          <w:tab w:val="clear" w:pos="708"/>
          <w:tab w:val="left" w:pos="850" w:leader="none"/>
        </w:tabs>
        <w:spacing w:lineRule="auto" w:line="360" w:before="57" w:after="57"/>
        <w:ind w:hanging="0" w:left="-79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iCs/>
          <w:color w:val="000000"/>
          <w:sz w:val="20"/>
          <w:szCs w:val="20"/>
          <w:u w:val="none"/>
          <w:lang w:eastAsia="en-US"/>
        </w:rPr>
        <w:t>10.10.4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>
      <w:pPr>
        <w:pStyle w:val="Normal"/>
        <w:tabs>
          <w:tab w:val="clear" w:pos="708"/>
          <w:tab w:val="left" w:pos="850" w:leader="none"/>
        </w:tabs>
        <w:spacing w:lineRule="auto" w:line="240" w:before="0" w:after="0"/>
        <w:ind w:hanging="0" w:left="-79" w:right="0"/>
        <w:jc w:val="both"/>
        <w:rPr>
          <w:rFonts w:ascii="Verdana" w:hAnsi="Verdana"/>
          <w:iCs/>
          <w:sz w:val="20"/>
          <w:szCs w:val="20"/>
          <w:shd w:fill="auto" w:val="clear"/>
        </w:rPr>
      </w:pPr>
      <w:r>
        <w:rPr>
          <w:rFonts w:ascii="Verdana" w:hAnsi="Verdana"/>
          <w:iCs/>
          <w:sz w:val="20"/>
          <w:szCs w:val="20"/>
          <w:shd w:fill="auto" w:val="clear"/>
        </w:rPr>
      </w:r>
    </w:p>
    <w:p>
      <w:pPr>
        <w:pStyle w:val="Normal"/>
        <w:numPr>
          <w:ilvl w:val="0"/>
          <w:numId w:val="0"/>
        </w:numPr>
        <w:spacing w:lineRule="auto" w:line="36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11. ADEQUAÇÃO ORÇAMENTÁRIA </w:t>
      </w:r>
    </w:p>
    <w:p>
      <w:pPr>
        <w:pStyle w:val="Normal"/>
        <w:numPr>
          <w:ilvl w:val="0"/>
          <w:numId w:val="0"/>
        </w:numPr>
        <w:spacing w:lineRule="auto" w:line="36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11.1. As despesas decorrentes da presente contratação correrão à conta de recursos específicos consignados no Lei Orçamentária Anual, bem como requisição do sistema presente nos autos, sendo a contratação atendida pelas seguintes dotações: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numPr>
          <w:ilvl w:val="0"/>
          <w:numId w:val="1"/>
        </w:numPr>
        <w:spacing w:lineRule="auto" w:line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FICHA – FONTE: 00592-1500000250000 no valor de R$ 28.440,00 (</w:t>
      </w:r>
      <w:r>
        <w:rPr>
          <w:rFonts w:eastAsia="Times New Roman" w:cs="Times New Roman" w:ascii="Verdana" w:hAnsi="Verdana"/>
          <w:color w:val="auto"/>
          <w:kern w:val="0"/>
          <w:sz w:val="20"/>
          <w:szCs w:val="20"/>
          <w:lang w:val="pt-BR" w:eastAsia="pt-BR" w:bidi="ar-SA"/>
        </w:rPr>
        <w:t>vinte e oito</w:t>
      </w:r>
      <w:r>
        <w:rPr>
          <w:rFonts w:ascii="Verdana" w:hAnsi="Verdana"/>
          <w:sz w:val="20"/>
          <w:szCs w:val="20"/>
        </w:rPr>
        <w:t xml:space="preserve"> mil </w:t>
      </w:r>
      <w:r>
        <w:rPr>
          <w:rFonts w:eastAsia="Times New Roman" w:cs="Times New Roman" w:ascii="Verdana" w:hAnsi="Verdana"/>
          <w:color w:val="auto"/>
          <w:kern w:val="0"/>
          <w:sz w:val="20"/>
          <w:szCs w:val="20"/>
          <w:lang w:val="pt-BR" w:eastAsia="pt-BR" w:bidi="ar-SA"/>
        </w:rPr>
        <w:t>quatrocentos e quarenta</w:t>
      </w:r>
      <w:r>
        <w:rPr>
          <w:rFonts w:ascii="Verdana" w:hAnsi="Verdana"/>
          <w:sz w:val="20"/>
          <w:szCs w:val="20"/>
        </w:rPr>
        <w:t xml:space="preserve"> reais) e</w:t>
      </w:r>
    </w:p>
    <w:p>
      <w:pPr>
        <w:pStyle w:val="Normal"/>
        <w:numPr>
          <w:ilvl w:val="0"/>
          <w:numId w:val="1"/>
        </w:numPr>
        <w:spacing w:lineRule="auto" w:line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FICHA – FONTE: 00591-150000250000 no valor de R$ 34.985,20 (trinta e quatro mil novecentos e oitenta e cinco reais e vinte centavos).</w:t>
      </w:r>
    </w:p>
    <w:p>
      <w:pPr>
        <w:pStyle w:val="Normal"/>
        <w:numPr>
          <w:ilvl w:val="0"/>
          <w:numId w:val="0"/>
        </w:numPr>
        <w:spacing w:lineRule="auto" w:line="360"/>
        <w:ind w:hanging="0" w:left="7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Totalizando o valor de R$ </w:t>
      </w:r>
      <w:r>
        <w:rPr>
          <w:rFonts w:eastAsia="Times New Roman" w:cs="Times New Roman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>R$ 63.425,20 (sessenta e três mil quatrocentos e vinte e cinco reais e vinte centavos).</w:t>
      </w:r>
    </w:p>
    <w:p>
      <w:pPr>
        <w:pStyle w:val="Normal"/>
        <w:spacing w:lineRule="auto" w:line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>12. DOS RESPONSÁVEIS PELA ELABORAÇÃO DO TERMO DE REFERÊNCIA</w:t>
      </w:r>
    </w:p>
    <w:p>
      <w:pPr>
        <w:pStyle w:val="Normal"/>
        <w:spacing w:lineRule="auto" w:line="36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12.1. A compilação d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lang w:val="pt-BR" w:eastAsia="pt-BR" w:bidi="ar-SA"/>
        </w:rPr>
        <w:t>e parte das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 xml:space="preserve"> informações mencionados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lang w:val="pt-BR" w:eastAsia="pt-BR" w:bidi="ar-SA"/>
        </w:rPr>
        <w:t>na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 xml:space="preserve"> elaboração deste Termo de Referência foram estruturadas através do ETP – Estudo Técnico Preliminar elaborado pela secretaria requisitante.</w:t>
      </w:r>
    </w:p>
    <w:p>
      <w:pPr>
        <w:pStyle w:val="Normal"/>
        <w:spacing w:lineRule="auto" w:line="36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360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shd w:fill="auto" w:val="clear"/>
        </w:rPr>
        <w:t>São Gabriel da Palha, 20 de mai</w:t>
      </w: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pt-BR" w:bidi="ar-SA"/>
        </w:rPr>
        <w:t>o</w:t>
      </w:r>
      <w:r>
        <w:rPr>
          <w:rFonts w:ascii="Verdana" w:hAnsi="Verdana"/>
          <w:sz w:val="20"/>
          <w:szCs w:val="20"/>
          <w:shd w:fill="auto" w:val="clear"/>
        </w:rPr>
        <w:t xml:space="preserve"> de 2024</w:t>
      </w:r>
    </w:p>
    <w:p>
      <w:pPr>
        <w:pStyle w:val="Normal"/>
        <w:spacing w:lineRule="auto" w:line="360"/>
        <w:jc w:val="right"/>
        <w:rPr>
          <w:rFonts w:ascii="Verdana" w:hAnsi="Verdana" w:cs="Arial"/>
          <w:b/>
          <w:bCs/>
          <w:sz w:val="20"/>
          <w:szCs w:val="20"/>
          <w:highlight w:val="none"/>
          <w:shd w:fill="FFFF00" w:val="clear"/>
        </w:rPr>
      </w:pPr>
      <w:r>
        <w:rPr>
          <w:rFonts w:cs="Arial" w:ascii="Verdana" w:hAnsi="Verdana"/>
          <w:b/>
          <w:bCs/>
          <w:sz w:val="20"/>
          <w:szCs w:val="20"/>
          <w:shd w:fill="FFFF00" w:val="clear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20"/>
          <w:szCs w:val="20"/>
        </w:rPr>
      </w:pPr>
      <w:bookmarkStart w:id="0" w:name="_GoBack1"/>
      <w:bookmarkStart w:id="1" w:name="_GoBack"/>
      <w:bookmarkEnd w:id="0"/>
      <w:bookmarkEnd w:id="1"/>
      <w:r>
        <w:rPr>
          <w:rFonts w:cs="Arial" w:ascii="Verdana" w:hAnsi="Verdana"/>
          <w:b/>
          <w:bCs/>
          <w:sz w:val="20"/>
          <w:szCs w:val="20"/>
        </w:rPr>
        <w:t>Elaborado por:</w:t>
      </w:r>
    </w:p>
    <w:p>
      <w:pPr>
        <w:pStyle w:val="Normal"/>
        <w:spacing w:lineRule="auto" w:line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ascii="Verdana" w:hAnsi="Verdana" w:cs="Arial"/>
          <w:b/>
          <w:bCs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</w:r>
    </w:p>
    <w:p>
      <w:pPr>
        <w:pStyle w:val="Normal"/>
        <w:spacing w:lineRule="auto" w:line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RODOLFO ANTÔNIO DA SILVA NETO</w:t>
      </w:r>
    </w:p>
    <w:p>
      <w:pPr>
        <w:pStyle w:val="Normal"/>
        <w:spacing w:lineRule="auto" w:line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Auxiliar Administrativo</w:t>
      </w:r>
    </w:p>
    <w:p>
      <w:pPr>
        <w:pStyle w:val="Normal"/>
        <w:spacing w:lineRule="auto" w:line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Mat nº 000406</w:t>
      </w:r>
      <w:bookmarkStart w:id="2" w:name="_GoBack3"/>
      <w:bookmarkStart w:id="3" w:name="_GoBack31121"/>
    </w:p>
    <w:p>
      <w:pPr>
        <w:pStyle w:val="Normal"/>
        <w:spacing w:lineRule="auto" w:line="24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24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24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RUTH BARBARA DA SILWA NASCIMENTO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Assistente Administrativo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bookmarkEnd w:id="2"/>
      <w:bookmarkEnd w:id="3"/>
      <w:r>
        <w:rPr>
          <w:rFonts w:ascii="Verdana" w:hAnsi="Verdana"/>
          <w:sz w:val="20"/>
          <w:szCs w:val="20"/>
        </w:rPr>
        <w:t>Mat. nº 002983</w:t>
      </w:r>
      <w:bookmarkStart w:id="4" w:name="art116_Copia_1"/>
      <w:bookmarkEnd w:id="4"/>
    </w:p>
    <w:p>
      <w:pPr>
        <w:pStyle w:val="Normal"/>
        <w:spacing w:lineRule="auto" w:line="240"/>
        <w:jc w:val="both"/>
        <w:rPr>
          <w:rFonts w:ascii="Verdana" w:hAnsi="Verdana" w:cs="Arial"/>
          <w:b/>
          <w:bCs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cs="Arial"/>
        </w:rPr>
      </w:pPr>
      <w:r>
        <w:rPr>
          <w:rFonts w:cs="Arial"/>
        </w:rPr>
      </w:r>
      <w:bookmarkStart w:id="5" w:name="art116"/>
      <w:bookmarkStart w:id="6" w:name="art116"/>
      <w:bookmarkEnd w:id="6"/>
    </w:p>
    <w:sectPr>
      <w:headerReference w:type="default" r:id="rId9"/>
      <w:footerReference w:type="default" r:id="rId10"/>
      <w:type w:val="nextPage"/>
      <w:pgSz w:w="11906" w:h="16838"/>
      <w:pgMar w:left="1550" w:right="905" w:gutter="0" w:header="227" w:top="851" w:footer="393" w:bottom="851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Ecofont_Spranq_eco_Sans">
    <w:charset w:val="00"/>
    <w:family w:val="roman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  <w:font w:name="Tahoma">
    <w:charset w:val="00"/>
    <w:family w:val="roman"/>
    <w:pitch w:val="variable"/>
  </w:font>
  <w:font w:name="Wingdings">
    <w:charset w:val="02"/>
    <w:family w:val="auto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tabs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rStyle w:val="Pagenumber"/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 xml:space="preserve">Praça Vicente Glazar, 159 | São Gabriel da Palha-ES | CEP 29780 000  </w:t>
    </w:r>
  </w:p>
  <w:p>
    <w:pPr>
      <w:pStyle w:val="Footer"/>
      <w:pBdr>
        <w:top w:val="single" w:sz="4" w:space="1" w:color="000000"/>
      </w:pBdr>
      <w:jc w:val="center"/>
      <w:rPr>
        <w:rStyle w:val="Pagenumber"/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Fone/Fax (027) 3727-1366 | E-mail: compras@saogabriel.es.gov.br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</w:r>
  </w:p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  <w:drawing>
        <wp:anchor behindDoc="1" distT="0" distB="0" distL="114300" distR="114300" simplePos="0" locked="0" layoutInCell="0" allowOverlap="1" relativeHeight="14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  <w:br/>
    </w:r>
    <w:r>
      <w:rPr>
        <w:rFonts w:ascii="Arial Narrow" w:hAnsi="Arial Narrow"/>
        <w:b/>
        <w:sz w:val="20"/>
      </w:rPr>
      <w:t>Departamento De Compras e Contratos</w:t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Arial Narrow" w:hAnsi="Arial Narrow"/>
        <w:b/>
        <w:sz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5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0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e18ec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pt-BR" w:eastAsia="pt-BR" w:bidi="ar-SA"/>
    </w:rPr>
  </w:style>
  <w:style w:type="paragraph" w:styleId="Heading1">
    <w:name w:val="Heading 1"/>
    <w:basedOn w:val="Normal"/>
    <w:next w:val="Normal"/>
    <w:link w:val="Ttulo1Char"/>
    <w:uiPriority w:val="9"/>
    <w:qFormat/>
    <w:rsid w:val="00537254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2e18ec"/>
    <w:rPr/>
  </w:style>
  <w:style w:type="character" w:styleId="CabealhoChar" w:customStyle="1">
    <w:name w:val="Cabeçalho Char"/>
    <w:basedOn w:val="DefaultParagraphFont"/>
    <w:qFormat/>
    <w:rsid w:val="002e18ec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RodapChar" w:customStyle="1">
    <w:name w:val="Rodapé Char"/>
    <w:basedOn w:val="DefaultParagraphFont"/>
    <w:qFormat/>
    <w:rsid w:val="002e18ec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A6" w:customStyle="1">
    <w:name w:val="A6"/>
    <w:qFormat/>
    <w:rPr>
      <w:color w:val="000000"/>
      <w:sz w:val="18"/>
      <w:u w:val="single"/>
    </w:rPr>
  </w:style>
  <w:style w:type="character" w:styleId="Hyperlink" w:customStyle="1">
    <w:name w:val="Hyperlink"/>
    <w:rPr>
      <w:color w:val="000080"/>
      <w:u w:val="single"/>
    </w:rPr>
  </w:style>
  <w:style w:type="character" w:styleId="CorpodetextoChar" w:customStyle="1">
    <w:name w:val="Corpo de texto Char"/>
    <w:basedOn w:val="DefaultParagraphFont"/>
    <w:qFormat/>
    <w:rsid w:val="004568f3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CitaoChar" w:customStyle="1">
    <w:name w:val="Citação Char"/>
    <w:basedOn w:val="DefaultParagraphFont"/>
    <w:qFormat/>
    <w:rsid w:val="00537254"/>
    <w:rPr>
      <w:rFonts w:ascii="Arial" w:hAnsi="Arial" w:eastAsia="Calibri" w:cs="Tahoma"/>
      <w:i/>
      <w:iCs/>
      <w:color w:val="000000"/>
      <w:sz w:val="20"/>
      <w:szCs w:val="24"/>
      <w:shd w:fill="FFFFCC" w:val="clear"/>
    </w:rPr>
  </w:style>
  <w:style w:type="character" w:styleId="Nivel1Char" w:customStyle="1">
    <w:name w:val="Nivel1 Char"/>
    <w:basedOn w:val="DefaultParagraphFont"/>
    <w:link w:val="Nivel1"/>
    <w:qFormat/>
    <w:locked/>
    <w:rsid w:val="00537254"/>
    <w:rPr>
      <w:rFonts w:ascii="Arial" w:hAnsi="Arial" w:eastAsia="" w:cs="Arial" w:eastAsiaTheme="majorEastAsia"/>
      <w:b/>
      <w:color w:val="000000"/>
      <w:sz w:val="32"/>
      <w:szCs w:val="32"/>
    </w:rPr>
  </w:style>
  <w:style w:type="character" w:styleId="Nivel2Char" w:customStyle="1">
    <w:name w:val="Nivel 2 Char"/>
    <w:basedOn w:val="DefaultParagraphFont"/>
    <w:link w:val="Nivel2"/>
    <w:qFormat/>
    <w:locked/>
    <w:rsid w:val="00537254"/>
    <w:rPr>
      <w:rFonts w:ascii="Arial" w:hAnsi="Arial" w:cs="Arial"/>
      <w:color w:val="000000"/>
    </w:rPr>
  </w:style>
  <w:style w:type="character" w:styleId="Strong">
    <w:name w:val="Strong"/>
    <w:qFormat/>
    <w:rPr>
      <w:b/>
      <w:bCs/>
    </w:rPr>
  </w:style>
  <w:style w:type="character" w:styleId="Ttulo1Char" w:customStyle="1">
    <w:name w:val="Título 1 Char"/>
    <w:basedOn w:val="DefaultParagraphFont"/>
    <w:uiPriority w:val="9"/>
    <w:qFormat/>
    <w:rsid w:val="00537254"/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pt-BR"/>
    </w:rPr>
  </w:style>
  <w:style w:type="character" w:styleId="Marcadores">
    <w:name w:val="Marcadores"/>
    <w:qFormat/>
    <w:rPr>
      <w:rFonts w:ascii="OpenSymbol" w:hAnsi="OpenSymbol" w:eastAsia="OpenSymbol" w:cs="OpenSymbol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CorpodetextoChar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CabealhoeRodap" w:customStyle="1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rsid w:val="002e18ec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Footer">
    <w:name w:val="Footer"/>
    <w:basedOn w:val="Normal"/>
    <w:link w:val="RodapChar"/>
    <w:rsid w:val="002e18ec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ListParagraph">
    <w:name w:val="List Paragraph"/>
    <w:basedOn w:val="Normal"/>
    <w:uiPriority w:val="34"/>
    <w:qFormat/>
    <w:rsid w:val="007a2726"/>
    <w:pPr>
      <w:spacing w:before="0" w:after="0"/>
      <w:ind w:hanging="0" w:left="720"/>
      <w:contextualSpacing/>
    </w:pPr>
    <w:rPr/>
  </w:style>
  <w:style w:type="paragraph" w:styleId="Tabelanormal1" w:customStyle="1">
    <w:name w:val="Tabela normal1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Times New Roman" w:hAnsi="Times New Roman" w:eastAsia="Tahoma" w:cs="Times New Roman"/>
      <w:color w:val="auto"/>
      <w:kern w:val="0"/>
      <w:sz w:val="20"/>
      <w:szCs w:val="20"/>
      <w:lang w:val="pt-BR" w:eastAsia="pt-BR" w:bidi="ar-SA"/>
    </w:rPr>
  </w:style>
  <w:style w:type="paragraph" w:styleId="Quote">
    <w:name w:val="Quote"/>
    <w:basedOn w:val="Normal"/>
    <w:next w:val="Normal"/>
    <w:link w:val="CitaoChar"/>
    <w:qFormat/>
    <w:rsid w:val="0053725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false"/>
      <w:spacing w:before="120" w:after="0"/>
      <w:jc w:val="both"/>
    </w:pPr>
    <w:rPr>
      <w:rFonts w:ascii="Arial" w:hAnsi="Arial" w:eastAsia="Calibri" w:cs="Tahoma"/>
      <w:i/>
      <w:iCs/>
      <w:color w:val="000000"/>
      <w:sz w:val="20"/>
      <w:szCs w:val="24"/>
      <w:lang w:eastAsia="en-US"/>
    </w:rPr>
  </w:style>
  <w:style w:type="paragraph" w:styleId="Nivel1" w:customStyle="1">
    <w:name w:val="Nivel1"/>
    <w:basedOn w:val="Heading1"/>
    <w:next w:val="Normal"/>
    <w:link w:val="Nivel1Char"/>
    <w:qFormat/>
    <w:rsid w:val="00537254"/>
    <w:pPr>
      <w:suppressAutoHyphens w:val="false"/>
      <w:spacing w:lineRule="auto" w:line="276" w:before="480" w:after="120"/>
      <w:jc w:val="both"/>
      <w:outlineLvl w:val="9"/>
    </w:pPr>
    <w:rPr>
      <w:rFonts w:ascii="Arial" w:hAnsi="Arial" w:cs="Arial"/>
      <w:bCs w:val="false"/>
      <w:color w:themeColor="accent1" w:themeShade="bf" w:val="000000"/>
      <w:sz w:val="32"/>
      <w:szCs w:val="32"/>
      <w:lang w:eastAsia="en-US"/>
    </w:rPr>
  </w:style>
  <w:style w:type="paragraph" w:styleId="Standard" w:customStyle="1">
    <w:name w:val="Standard"/>
    <w:qFormat/>
    <w:rsid w:val="00537254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paragraph" w:styleId="Citao2" w:customStyle="1">
    <w:name w:val="citação 2"/>
    <w:basedOn w:val="Quote"/>
    <w:qFormat/>
    <w:rsid w:val="00537254"/>
    <w:pPr>
      <w:suppressAutoHyphens w:val="true"/>
    </w:pPr>
    <w:rPr>
      <w:kern w:val="2"/>
      <w:szCs w:val="20"/>
      <w:lang w:eastAsia="zh-CN" w:bidi="hi-IN"/>
    </w:rPr>
  </w:style>
  <w:style w:type="paragraph" w:styleId="Nivel2" w:customStyle="1">
    <w:name w:val="Nivel 2"/>
    <w:basedOn w:val="Normal"/>
    <w:link w:val="Nivel2Char"/>
    <w:qFormat/>
    <w:rsid w:val="00537254"/>
    <w:pPr>
      <w:suppressAutoHyphens w:val="false"/>
      <w:spacing w:lineRule="auto" w:line="276" w:before="120" w:after="120"/>
      <w:jc w:val="both"/>
    </w:pPr>
    <w:rPr>
      <w:rFonts w:ascii="Arial" w:hAnsi="Arial" w:eastAsia="Calibri" w:cs="Arial" w:eastAsiaTheme="minorHAnsi"/>
      <w:color w:val="000000"/>
      <w:sz w:val="22"/>
      <w:szCs w:val="22"/>
      <w:lang w:eastAsia="en-US"/>
    </w:rPr>
  </w:style>
  <w:style w:type="paragraph" w:styleId="Nivel3" w:customStyle="1">
    <w:name w:val="Nivel 3"/>
    <w:basedOn w:val="ListParagraph"/>
    <w:qFormat/>
    <w:rsid w:val="00537254"/>
    <w:pPr>
      <w:tabs>
        <w:tab w:val="clear" w:pos="708"/>
        <w:tab w:val="left" w:pos="360" w:leader="none"/>
      </w:tabs>
      <w:suppressAutoHyphens w:val="false"/>
      <w:spacing w:lineRule="auto" w:line="276" w:before="120" w:after="120"/>
      <w:ind w:hanging="0" w:left="425"/>
      <w:contextualSpacing/>
      <w:jc w:val="both"/>
    </w:pPr>
    <w:rPr>
      <w:rFonts w:ascii="Arial" w:hAnsi="Arial" w:cs="Arial"/>
      <w:sz w:val="20"/>
    </w:rPr>
  </w:style>
  <w:style w:type="paragraph" w:styleId="TableParagraph">
    <w:name w:val="Table Paragraph"/>
    <w:basedOn w:val="Normal"/>
    <w:qFormat/>
    <w:pPr>
      <w:widowControl w:val="false"/>
      <w:suppressAutoHyphens w:val="false"/>
    </w:pPr>
    <w:rPr>
      <w:rFonts w:ascii="Calibri" w:hAnsi="Calibri" w:eastAsia="Calibri" w:cs="Calibri"/>
      <w:sz w:val="22"/>
      <w:szCs w:val="22"/>
      <w:lang w:val="pt-PT" w:eastAsia="en-US"/>
    </w:rPr>
  </w:style>
  <w:style w:type="paragraph" w:styleId="PADRO">
    <w:name w:val="PADRÃO"/>
    <w:qFormat/>
    <w:pPr>
      <w:keepNext w:val="true"/>
      <w:widowControl w:val="false"/>
      <w:shd w:fill="FFFFFF"/>
      <w:suppressAutoHyphens w:val="tru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4"/>
      <w:szCs w:val="24"/>
      <w:lang w:val="pt-BR" w:eastAsia="zh-CN" w:bidi="hi-IN"/>
    </w:rPr>
  </w:style>
  <w:style w:type="paragraph" w:styleId="PargrafodaLista">
    <w:name w:val="Parágrafo da Lista"/>
    <w:basedOn w:val="Normal"/>
    <w:qFormat/>
    <w:pPr>
      <w:spacing w:lineRule="auto" w:line="276" w:before="0" w:after="200"/>
      <w:ind w:hanging="0" w:left="720" w:right="0"/>
      <w:contextualSpacing/>
    </w:pPr>
    <w:rPr>
      <w:rFonts w:ascii="Calibri" w:hAnsi="Calibri" w:eastAsia="Calibri" w:cs="Calibri"/>
      <w:sz w:val="22"/>
      <w:szCs w:val="22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53725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transportesemedsgp@gmail.com" TargetMode="External"/><Relationship Id="rId3" Type="http://schemas.openxmlformats.org/officeDocument/2006/relationships/hyperlink" Target="https://www.planalto.gov.br/ccivil_03/leis/lcp/lcp123.htm" TargetMode="External"/><Relationship Id="rId4" Type="http://schemas.openxmlformats.org/officeDocument/2006/relationships/hyperlink" Target="http://www.portaldatransparencia.gov.br/ceis" TargetMode="External"/><Relationship Id="rId5" Type="http://schemas.openxmlformats.org/officeDocument/2006/relationships/hyperlink" Target="http://www.cnj.jus.br/improbidade_adm/consultar_requerido.php" TargetMode="External"/><Relationship Id="rId6" Type="http://schemas.openxmlformats.org/officeDocument/2006/relationships/hyperlink" Target="https://www.tcees.tc.br/portal-da-transparencia/consultas/lista-de" TargetMode="External"/><Relationship Id="rId7" Type="http://schemas.openxmlformats.org/officeDocument/2006/relationships/hyperlink" Target="https://certidoesapf.apps.tcu.gov.br/" TargetMode="External"/><Relationship Id="rId8" Type="http://schemas.openxmlformats.org/officeDocument/2006/relationships/hyperlink" Target="http://www.portaldoempreendedor.gov.br/" TargetMode="Externa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numbering" Target="numbering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Application>LibreOffice/7.6.7.2$Windows_X86_64 LibreOffice_project/dd47e4b30cb7dab30588d6c79c651f218165e3c5</Application>
  <AppVersion>15.0000</AppVersion>
  <Pages>13</Pages>
  <Words>4703</Words>
  <Characters>26533</Characters>
  <CharactersWithSpaces>30962</CharactersWithSpaces>
  <Paragraphs>341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Ruth Barbara da Silwa Nascimento</dc:creator>
  <dc:description/>
  <dc:language>pt-BR</dc:language>
  <cp:lastModifiedBy/>
  <cp:lastPrinted>2024-08-29T15:43:17Z</cp:lastPrinted>
  <dcterms:modified xsi:type="dcterms:W3CDTF">2024-08-29T17:55:06Z</dcterms:modified>
  <cp:revision>104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